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05B" w:rsidRPr="002D0B26" w:rsidRDefault="005F705B" w:rsidP="00241A20">
      <w:pPr>
        <w:spacing w:after="0"/>
        <w:jc w:val="center"/>
        <w:rPr>
          <w:rFonts w:ascii="Cambria" w:hAnsi="Cambria"/>
          <w:b/>
          <w:sz w:val="24"/>
          <w:szCs w:val="24"/>
        </w:rPr>
      </w:pPr>
      <w:bookmarkStart w:id="0" w:name="_Hlk485842608"/>
      <w:r w:rsidRPr="002D0B26">
        <w:rPr>
          <w:rFonts w:ascii="Cambria" w:hAnsi="Cambria"/>
          <w:b/>
          <w:sz w:val="24"/>
          <w:szCs w:val="24"/>
        </w:rPr>
        <w:t>Mini-course on</w:t>
      </w:r>
    </w:p>
    <w:p w:rsidR="005F705B" w:rsidRPr="002D0B26" w:rsidRDefault="005F705B" w:rsidP="00241A20">
      <w:pPr>
        <w:spacing w:after="0"/>
        <w:jc w:val="center"/>
        <w:rPr>
          <w:rFonts w:ascii="Cambria" w:hAnsi="Cambria"/>
          <w:b/>
          <w:sz w:val="24"/>
          <w:szCs w:val="24"/>
        </w:rPr>
      </w:pPr>
      <w:r w:rsidRPr="002D0B26">
        <w:rPr>
          <w:rFonts w:ascii="Cambria" w:hAnsi="Cambria"/>
          <w:b/>
          <w:sz w:val="24"/>
          <w:szCs w:val="24"/>
        </w:rPr>
        <w:t>“</w:t>
      </w:r>
      <w:r w:rsidR="008B0662" w:rsidRPr="002D0B26">
        <w:rPr>
          <w:rFonts w:ascii="Cambria" w:hAnsi="Cambria"/>
          <w:b/>
          <w:sz w:val="24"/>
          <w:szCs w:val="24"/>
        </w:rPr>
        <w:t>Comparative Private International Law</w:t>
      </w:r>
      <w:r w:rsidRPr="002D0B26">
        <w:rPr>
          <w:rFonts w:ascii="Cambria" w:hAnsi="Cambria"/>
          <w:b/>
          <w:sz w:val="24"/>
          <w:szCs w:val="24"/>
        </w:rPr>
        <w:t>”</w:t>
      </w:r>
    </w:p>
    <w:p w:rsidR="006212AD" w:rsidRPr="002D0B26" w:rsidRDefault="005F705B" w:rsidP="00241A20">
      <w:pPr>
        <w:spacing w:after="0"/>
        <w:jc w:val="center"/>
        <w:rPr>
          <w:rFonts w:ascii="Cambria" w:hAnsi="Cambria"/>
          <w:b/>
          <w:sz w:val="24"/>
          <w:szCs w:val="24"/>
        </w:rPr>
      </w:pPr>
      <w:r w:rsidRPr="002D0B26">
        <w:rPr>
          <w:rFonts w:ascii="Cambria" w:hAnsi="Cambria"/>
          <w:b/>
          <w:sz w:val="24"/>
          <w:szCs w:val="24"/>
        </w:rPr>
        <w:t>by Professor Symeon C. Symeonides</w:t>
      </w:r>
    </w:p>
    <w:p w:rsidR="0022510C" w:rsidRPr="002D0B26" w:rsidRDefault="0022510C" w:rsidP="00241A20">
      <w:pPr>
        <w:spacing w:after="0"/>
        <w:jc w:val="center"/>
        <w:rPr>
          <w:rFonts w:ascii="Cambria" w:hAnsi="Cambria"/>
          <w:b/>
          <w:sz w:val="24"/>
          <w:szCs w:val="24"/>
        </w:rPr>
      </w:pPr>
      <w:r w:rsidRPr="002D0B26">
        <w:rPr>
          <w:rFonts w:ascii="Cambria" w:hAnsi="Cambria"/>
          <w:b/>
          <w:sz w:val="24"/>
          <w:szCs w:val="24"/>
        </w:rPr>
        <w:t>11-13 September 2017</w:t>
      </w:r>
    </w:p>
    <w:p w:rsidR="0022510C" w:rsidRPr="002D0B26" w:rsidRDefault="0022510C" w:rsidP="00241A20">
      <w:pPr>
        <w:spacing w:after="0"/>
        <w:jc w:val="center"/>
        <w:rPr>
          <w:rFonts w:ascii="Cambria" w:hAnsi="Cambria"/>
          <w:b/>
          <w:sz w:val="24"/>
          <w:szCs w:val="24"/>
        </w:rPr>
      </w:pPr>
      <w:r w:rsidRPr="002D0B26">
        <w:rPr>
          <w:rFonts w:ascii="Cambria" w:hAnsi="Cambria"/>
          <w:b/>
          <w:sz w:val="24"/>
          <w:szCs w:val="24"/>
        </w:rPr>
        <w:t>Under the aegis of:</w:t>
      </w:r>
    </w:p>
    <w:p w:rsidR="0022510C" w:rsidRPr="002D0B26" w:rsidRDefault="0022510C" w:rsidP="00241A20">
      <w:pPr>
        <w:spacing w:after="0"/>
        <w:jc w:val="center"/>
        <w:rPr>
          <w:rFonts w:ascii="Cambria" w:hAnsi="Cambria"/>
          <w:b/>
          <w:sz w:val="24"/>
          <w:szCs w:val="24"/>
        </w:rPr>
      </w:pPr>
      <w:r w:rsidRPr="002D0B26">
        <w:rPr>
          <w:rFonts w:ascii="Cambria" w:hAnsi="Cambria"/>
          <w:b/>
          <w:sz w:val="24"/>
          <w:szCs w:val="24"/>
        </w:rPr>
        <w:t>National Academy of Law Teachers (NALT)</w:t>
      </w:r>
    </w:p>
    <w:p w:rsidR="0022510C" w:rsidRPr="002D0B26" w:rsidRDefault="0022510C" w:rsidP="00241A20">
      <w:pPr>
        <w:spacing w:after="0"/>
        <w:jc w:val="center"/>
        <w:rPr>
          <w:rFonts w:ascii="Cambria" w:hAnsi="Cambria"/>
          <w:b/>
          <w:sz w:val="24"/>
          <w:szCs w:val="24"/>
        </w:rPr>
      </w:pPr>
      <w:r w:rsidRPr="002D0B26">
        <w:rPr>
          <w:rFonts w:ascii="Cambria" w:hAnsi="Cambria"/>
          <w:b/>
          <w:sz w:val="24"/>
          <w:szCs w:val="24"/>
        </w:rPr>
        <w:t>Organized by: -</w:t>
      </w:r>
    </w:p>
    <w:p w:rsidR="0022510C" w:rsidRPr="002D0B26" w:rsidRDefault="0022510C" w:rsidP="00241A20">
      <w:pPr>
        <w:spacing w:after="0"/>
        <w:jc w:val="center"/>
        <w:rPr>
          <w:rFonts w:ascii="Cambria" w:hAnsi="Cambria"/>
          <w:b/>
          <w:sz w:val="24"/>
          <w:szCs w:val="24"/>
        </w:rPr>
      </w:pPr>
      <w:r w:rsidRPr="002D0B26">
        <w:rPr>
          <w:rFonts w:ascii="Cambria" w:hAnsi="Cambria"/>
          <w:b/>
          <w:sz w:val="24"/>
          <w:szCs w:val="24"/>
        </w:rPr>
        <w:t>Centre for Transnational Commercial Law (CTCL)</w:t>
      </w:r>
    </w:p>
    <w:p w:rsidR="0022510C" w:rsidRDefault="0022510C" w:rsidP="00241A20">
      <w:pPr>
        <w:spacing w:after="0"/>
        <w:jc w:val="center"/>
        <w:rPr>
          <w:rFonts w:ascii="Cambria" w:hAnsi="Cambria"/>
          <w:b/>
          <w:sz w:val="24"/>
          <w:szCs w:val="24"/>
        </w:rPr>
      </w:pPr>
      <w:r w:rsidRPr="002D0B26">
        <w:rPr>
          <w:rFonts w:ascii="Cambria" w:hAnsi="Cambria"/>
          <w:b/>
          <w:sz w:val="24"/>
          <w:szCs w:val="24"/>
        </w:rPr>
        <w:t>National Law University, Delhi</w:t>
      </w:r>
    </w:p>
    <w:p w:rsidR="00980EE7" w:rsidRDefault="00980EE7" w:rsidP="00241A20">
      <w:pPr>
        <w:spacing w:after="0"/>
        <w:jc w:val="center"/>
        <w:rPr>
          <w:rFonts w:ascii="Cambria" w:hAnsi="Cambria"/>
          <w:b/>
          <w:sz w:val="24"/>
          <w:szCs w:val="24"/>
        </w:rPr>
      </w:pPr>
      <w:r>
        <w:rPr>
          <w:rFonts w:ascii="Cambria" w:hAnsi="Cambria"/>
          <w:b/>
          <w:sz w:val="24"/>
          <w:szCs w:val="24"/>
        </w:rPr>
        <w:t>Room 506, Academic Block</w:t>
      </w:r>
    </w:p>
    <w:p w:rsidR="00980EE7" w:rsidRPr="00C03D6F" w:rsidRDefault="00980EE7" w:rsidP="00241A20">
      <w:pPr>
        <w:spacing w:after="0"/>
        <w:jc w:val="center"/>
        <w:rPr>
          <w:rFonts w:ascii="Cambria" w:hAnsi="Cambria"/>
          <w:b/>
          <w:sz w:val="6"/>
          <w:szCs w:val="24"/>
        </w:rPr>
      </w:pPr>
    </w:p>
    <w:p w:rsidR="00980EE7" w:rsidRPr="0020027C" w:rsidRDefault="00980EE7" w:rsidP="00980EE7">
      <w:pPr>
        <w:spacing w:after="120"/>
        <w:jc w:val="center"/>
        <w:rPr>
          <w:rFonts w:ascii="Cambria" w:hAnsi="Cambria"/>
          <w:b/>
          <w:smallCaps/>
          <w:sz w:val="24"/>
          <w:szCs w:val="24"/>
        </w:rPr>
      </w:pPr>
      <w:r w:rsidRPr="0020027C">
        <w:rPr>
          <w:rFonts w:ascii="Cambria" w:hAnsi="Cambria"/>
          <w:b/>
          <w:smallCaps/>
          <w:sz w:val="24"/>
          <w:szCs w:val="24"/>
        </w:rPr>
        <w:t>Schedule of Lectures/ Sessions</w:t>
      </w:r>
    </w:p>
    <w:p w:rsidR="00980EE7" w:rsidRPr="002D0B26" w:rsidRDefault="00980EE7" w:rsidP="00980EE7">
      <w:pPr>
        <w:spacing w:after="120"/>
        <w:jc w:val="center"/>
        <w:rPr>
          <w:rFonts w:ascii="Cambria" w:hAnsi="Cambria"/>
          <w:b/>
          <w:sz w:val="24"/>
          <w:szCs w:val="24"/>
        </w:rPr>
      </w:pPr>
      <w:r w:rsidRPr="002D0B26">
        <w:rPr>
          <w:rFonts w:ascii="Cambria" w:hAnsi="Cambria" w:cs="Calibri"/>
          <w:b/>
          <w:color w:val="000000"/>
        </w:rPr>
        <w:t>“Comparative Private International Law in a Historical Perspective”</w:t>
      </w:r>
    </w:p>
    <w:tbl>
      <w:tblPr>
        <w:tblStyle w:val="TableGrid"/>
        <w:tblW w:w="9715" w:type="dxa"/>
        <w:jc w:val="center"/>
        <w:tblLayout w:type="fixed"/>
        <w:tblLook w:val="04A0"/>
      </w:tblPr>
      <w:tblGrid>
        <w:gridCol w:w="1008"/>
        <w:gridCol w:w="2860"/>
        <w:gridCol w:w="360"/>
        <w:gridCol w:w="2520"/>
        <w:gridCol w:w="447"/>
        <w:gridCol w:w="2520"/>
      </w:tblGrid>
      <w:tr w:rsidR="00C03D6F" w:rsidRPr="002D0B26" w:rsidTr="00C03D6F">
        <w:trPr>
          <w:jc w:val="center"/>
        </w:trPr>
        <w:tc>
          <w:tcPr>
            <w:tcW w:w="1008" w:type="dxa"/>
          </w:tcPr>
          <w:p w:rsidR="00C03D6F" w:rsidRPr="002D0B26" w:rsidRDefault="00C03D6F" w:rsidP="00C47075">
            <w:pPr>
              <w:jc w:val="both"/>
              <w:rPr>
                <w:rFonts w:ascii="Cambria" w:hAnsi="Cambria"/>
              </w:rPr>
            </w:pPr>
            <w:r w:rsidRPr="002D0B26">
              <w:rPr>
                <w:rFonts w:ascii="Cambria" w:hAnsi="Cambria"/>
              </w:rPr>
              <w:t>Date/</w:t>
            </w:r>
          </w:p>
          <w:p w:rsidR="00C03D6F" w:rsidRPr="002D0B26" w:rsidRDefault="00C03D6F" w:rsidP="00C47075">
            <w:pPr>
              <w:jc w:val="both"/>
              <w:rPr>
                <w:rFonts w:ascii="Cambria" w:hAnsi="Cambria"/>
              </w:rPr>
            </w:pPr>
            <w:r w:rsidRPr="002D0B26">
              <w:rPr>
                <w:rFonts w:ascii="Cambria" w:hAnsi="Cambria"/>
              </w:rPr>
              <w:t>Time</w:t>
            </w:r>
          </w:p>
        </w:tc>
        <w:tc>
          <w:tcPr>
            <w:tcW w:w="2860" w:type="dxa"/>
          </w:tcPr>
          <w:p w:rsidR="00C03D6F" w:rsidRPr="002D0B26" w:rsidRDefault="00C03D6F" w:rsidP="00C47075">
            <w:pPr>
              <w:jc w:val="center"/>
              <w:rPr>
                <w:rFonts w:ascii="Cambria" w:hAnsi="Cambria"/>
              </w:rPr>
            </w:pPr>
            <w:r w:rsidRPr="002D0B26">
              <w:rPr>
                <w:rFonts w:ascii="Cambria" w:hAnsi="Cambria"/>
              </w:rPr>
              <w:t>Session I:</w:t>
            </w:r>
          </w:p>
          <w:p w:rsidR="00C03D6F" w:rsidRPr="002D0B26" w:rsidRDefault="00C03D6F" w:rsidP="00C47075">
            <w:pPr>
              <w:jc w:val="center"/>
              <w:rPr>
                <w:rFonts w:ascii="Cambria" w:hAnsi="Cambria"/>
              </w:rPr>
            </w:pPr>
            <w:r w:rsidRPr="002D0B26">
              <w:rPr>
                <w:rFonts w:ascii="Cambria" w:hAnsi="Cambria"/>
              </w:rPr>
              <w:t>10:00 – 11:30 am</w:t>
            </w:r>
          </w:p>
        </w:tc>
        <w:tc>
          <w:tcPr>
            <w:tcW w:w="360" w:type="dxa"/>
            <w:vMerge w:val="restart"/>
            <w:shd w:val="clear" w:color="auto" w:fill="BFBFBF" w:themeFill="background1" w:themeFillShade="BF"/>
            <w:vAlign w:val="center"/>
          </w:tcPr>
          <w:p w:rsidR="00C03D6F" w:rsidRDefault="00C03D6F" w:rsidP="00C03D6F">
            <w:pPr>
              <w:jc w:val="center"/>
              <w:rPr>
                <w:rFonts w:ascii="Cambria" w:hAnsi="Cambria"/>
              </w:rPr>
            </w:pPr>
            <w:r w:rsidRPr="002D0B26">
              <w:rPr>
                <w:rFonts w:ascii="Cambria" w:hAnsi="Cambria"/>
              </w:rPr>
              <w:t>T</w:t>
            </w:r>
          </w:p>
          <w:p w:rsidR="00C03D6F" w:rsidRDefault="00C03D6F" w:rsidP="00C03D6F">
            <w:pPr>
              <w:jc w:val="center"/>
              <w:rPr>
                <w:rFonts w:ascii="Cambria" w:hAnsi="Cambria"/>
              </w:rPr>
            </w:pPr>
            <w:r>
              <w:rPr>
                <w:rFonts w:ascii="Cambria" w:hAnsi="Cambria"/>
              </w:rPr>
              <w:t>E</w:t>
            </w:r>
          </w:p>
          <w:p w:rsidR="00C03D6F" w:rsidRDefault="00C03D6F" w:rsidP="00C03D6F">
            <w:pPr>
              <w:jc w:val="center"/>
              <w:rPr>
                <w:rFonts w:ascii="Cambria" w:hAnsi="Cambria"/>
              </w:rPr>
            </w:pPr>
            <w:r>
              <w:rPr>
                <w:rFonts w:ascii="Cambria" w:hAnsi="Cambria"/>
              </w:rPr>
              <w:t>A</w:t>
            </w:r>
          </w:p>
          <w:p w:rsidR="00C03D6F" w:rsidRPr="002D0B26" w:rsidRDefault="00C03D6F" w:rsidP="00C03D6F">
            <w:pPr>
              <w:jc w:val="center"/>
              <w:rPr>
                <w:rFonts w:ascii="Cambria" w:hAnsi="Cambria"/>
              </w:rPr>
            </w:pPr>
          </w:p>
        </w:tc>
        <w:tc>
          <w:tcPr>
            <w:tcW w:w="2520" w:type="dxa"/>
          </w:tcPr>
          <w:p w:rsidR="00C03D6F" w:rsidRPr="002D0B26" w:rsidRDefault="00C03D6F" w:rsidP="00C47075">
            <w:pPr>
              <w:jc w:val="center"/>
              <w:rPr>
                <w:rFonts w:ascii="Cambria" w:hAnsi="Cambria"/>
              </w:rPr>
            </w:pPr>
            <w:r w:rsidRPr="002D0B26">
              <w:rPr>
                <w:rFonts w:ascii="Cambria" w:hAnsi="Cambria"/>
              </w:rPr>
              <w:t>Session II:</w:t>
            </w:r>
          </w:p>
          <w:p w:rsidR="00C03D6F" w:rsidRPr="002D0B26" w:rsidRDefault="00C03D6F" w:rsidP="00C47075">
            <w:pPr>
              <w:jc w:val="center"/>
              <w:rPr>
                <w:rFonts w:ascii="Cambria" w:hAnsi="Cambria"/>
              </w:rPr>
            </w:pPr>
            <w:r w:rsidRPr="002D0B26">
              <w:rPr>
                <w:rFonts w:ascii="Cambria" w:hAnsi="Cambria"/>
              </w:rPr>
              <w:t>12:00 – 1:30 pm</w:t>
            </w:r>
          </w:p>
        </w:tc>
        <w:tc>
          <w:tcPr>
            <w:tcW w:w="447" w:type="dxa"/>
            <w:vMerge w:val="restart"/>
            <w:shd w:val="clear" w:color="auto" w:fill="BFBFBF" w:themeFill="background1" w:themeFillShade="BF"/>
            <w:vAlign w:val="center"/>
          </w:tcPr>
          <w:p w:rsidR="00C03D6F" w:rsidRDefault="00C03D6F" w:rsidP="00C03D6F">
            <w:pPr>
              <w:jc w:val="center"/>
              <w:rPr>
                <w:rFonts w:ascii="Cambria" w:hAnsi="Cambria"/>
              </w:rPr>
            </w:pPr>
            <w:r w:rsidRPr="002D0B26">
              <w:rPr>
                <w:rFonts w:ascii="Cambria" w:hAnsi="Cambria"/>
              </w:rPr>
              <w:t>L</w:t>
            </w:r>
          </w:p>
          <w:p w:rsidR="00C03D6F" w:rsidRDefault="00C03D6F" w:rsidP="00C03D6F">
            <w:pPr>
              <w:jc w:val="center"/>
              <w:rPr>
                <w:rFonts w:ascii="Cambria" w:hAnsi="Cambria"/>
              </w:rPr>
            </w:pPr>
            <w:r>
              <w:rPr>
                <w:rFonts w:ascii="Cambria" w:hAnsi="Cambria"/>
              </w:rPr>
              <w:t>U</w:t>
            </w:r>
          </w:p>
          <w:p w:rsidR="00C03D6F" w:rsidRDefault="00C03D6F" w:rsidP="00C03D6F">
            <w:pPr>
              <w:jc w:val="center"/>
              <w:rPr>
                <w:rFonts w:ascii="Cambria" w:hAnsi="Cambria"/>
              </w:rPr>
            </w:pPr>
            <w:r>
              <w:rPr>
                <w:rFonts w:ascii="Cambria" w:hAnsi="Cambria"/>
              </w:rPr>
              <w:t>N</w:t>
            </w:r>
          </w:p>
          <w:p w:rsidR="00C03D6F" w:rsidRDefault="00C03D6F" w:rsidP="00C03D6F">
            <w:pPr>
              <w:jc w:val="center"/>
              <w:rPr>
                <w:rFonts w:ascii="Cambria" w:hAnsi="Cambria"/>
              </w:rPr>
            </w:pPr>
            <w:r>
              <w:rPr>
                <w:rFonts w:ascii="Cambria" w:hAnsi="Cambria"/>
              </w:rPr>
              <w:t>C</w:t>
            </w:r>
          </w:p>
          <w:p w:rsidR="00C03D6F" w:rsidRPr="002D0B26" w:rsidRDefault="00C03D6F" w:rsidP="00C03D6F">
            <w:pPr>
              <w:jc w:val="center"/>
              <w:rPr>
                <w:rFonts w:ascii="Cambria" w:hAnsi="Cambria"/>
              </w:rPr>
            </w:pPr>
            <w:r>
              <w:rPr>
                <w:rFonts w:ascii="Cambria" w:hAnsi="Cambria"/>
              </w:rPr>
              <w:t>H</w:t>
            </w:r>
          </w:p>
        </w:tc>
        <w:tc>
          <w:tcPr>
            <w:tcW w:w="2520" w:type="dxa"/>
          </w:tcPr>
          <w:p w:rsidR="00C03D6F" w:rsidRPr="002D0B26" w:rsidRDefault="00C03D6F" w:rsidP="00C47075">
            <w:pPr>
              <w:jc w:val="center"/>
              <w:rPr>
                <w:rFonts w:ascii="Cambria" w:hAnsi="Cambria"/>
              </w:rPr>
            </w:pPr>
            <w:r w:rsidRPr="002D0B26">
              <w:rPr>
                <w:rFonts w:ascii="Cambria" w:hAnsi="Cambria"/>
              </w:rPr>
              <w:t>Session III:</w:t>
            </w:r>
          </w:p>
          <w:p w:rsidR="00C03D6F" w:rsidRPr="002D0B26" w:rsidRDefault="00C03D6F" w:rsidP="00C47075">
            <w:pPr>
              <w:jc w:val="center"/>
              <w:rPr>
                <w:rFonts w:ascii="Cambria" w:hAnsi="Cambria"/>
              </w:rPr>
            </w:pPr>
            <w:r w:rsidRPr="002D0B26">
              <w:rPr>
                <w:rFonts w:ascii="Cambria" w:hAnsi="Cambria"/>
              </w:rPr>
              <w:t>2:30 – 4:00 pm</w:t>
            </w:r>
          </w:p>
        </w:tc>
      </w:tr>
      <w:tr w:rsidR="00C03D6F" w:rsidRPr="002D0B26" w:rsidTr="00C03D6F">
        <w:trPr>
          <w:jc w:val="center"/>
        </w:trPr>
        <w:tc>
          <w:tcPr>
            <w:tcW w:w="1008" w:type="dxa"/>
          </w:tcPr>
          <w:p w:rsidR="00C03D6F" w:rsidRPr="002D0B26" w:rsidRDefault="00C03D6F" w:rsidP="00C47075">
            <w:pPr>
              <w:jc w:val="both"/>
              <w:rPr>
                <w:rFonts w:ascii="Cambria" w:hAnsi="Cambria"/>
              </w:rPr>
            </w:pPr>
            <w:r w:rsidRPr="002D0B26">
              <w:rPr>
                <w:rFonts w:ascii="Cambria" w:hAnsi="Cambria"/>
              </w:rPr>
              <w:t xml:space="preserve">Mon </w:t>
            </w:r>
          </w:p>
          <w:p w:rsidR="00C03D6F" w:rsidRPr="002D0B26" w:rsidRDefault="00C03D6F" w:rsidP="00C47075">
            <w:pPr>
              <w:jc w:val="both"/>
              <w:rPr>
                <w:rFonts w:ascii="Cambria" w:hAnsi="Cambria"/>
              </w:rPr>
            </w:pPr>
            <w:r w:rsidRPr="002D0B26">
              <w:rPr>
                <w:rFonts w:ascii="Cambria" w:hAnsi="Cambria"/>
              </w:rPr>
              <w:t>11-Sept</w:t>
            </w:r>
          </w:p>
        </w:tc>
        <w:tc>
          <w:tcPr>
            <w:tcW w:w="2860" w:type="dxa"/>
          </w:tcPr>
          <w:p w:rsidR="00C03D6F" w:rsidRPr="002D0B26" w:rsidRDefault="00C03D6F" w:rsidP="00C47075">
            <w:pPr>
              <w:rPr>
                <w:rFonts w:ascii="Cambria" w:hAnsi="Cambria"/>
              </w:rPr>
            </w:pPr>
            <w:r w:rsidRPr="002D0B26">
              <w:rPr>
                <w:rFonts w:ascii="Cambria" w:hAnsi="Cambria"/>
              </w:rPr>
              <w:t>Lecture 1: Tort and contract conflicts</w:t>
            </w:r>
          </w:p>
        </w:tc>
        <w:tc>
          <w:tcPr>
            <w:tcW w:w="360" w:type="dxa"/>
            <w:vMerge/>
            <w:shd w:val="clear" w:color="auto" w:fill="BFBFBF" w:themeFill="background1" w:themeFillShade="BF"/>
          </w:tcPr>
          <w:p w:rsidR="00C03D6F" w:rsidRPr="002D0B26" w:rsidRDefault="00C03D6F" w:rsidP="00C47075">
            <w:pPr>
              <w:rPr>
                <w:rFonts w:ascii="Cambria" w:hAnsi="Cambria"/>
              </w:rPr>
            </w:pPr>
          </w:p>
        </w:tc>
        <w:tc>
          <w:tcPr>
            <w:tcW w:w="2520" w:type="dxa"/>
          </w:tcPr>
          <w:p w:rsidR="00C03D6F" w:rsidRPr="002D0B26" w:rsidRDefault="00C03D6F" w:rsidP="00C47075">
            <w:pPr>
              <w:rPr>
                <w:rFonts w:ascii="Cambria" w:hAnsi="Cambria"/>
              </w:rPr>
            </w:pPr>
            <w:r w:rsidRPr="002D0B26">
              <w:rPr>
                <w:rFonts w:ascii="Cambria" w:hAnsi="Cambria"/>
              </w:rPr>
              <w:t>Lecture 2:  Tort and contract conflicts</w:t>
            </w:r>
          </w:p>
        </w:tc>
        <w:tc>
          <w:tcPr>
            <w:tcW w:w="447" w:type="dxa"/>
            <w:vMerge/>
            <w:shd w:val="clear" w:color="auto" w:fill="BFBFBF" w:themeFill="background1" w:themeFillShade="BF"/>
          </w:tcPr>
          <w:p w:rsidR="00C03D6F" w:rsidRPr="002D0B26" w:rsidRDefault="00C03D6F" w:rsidP="00C47075">
            <w:pPr>
              <w:rPr>
                <w:rFonts w:ascii="Cambria" w:hAnsi="Cambria"/>
              </w:rPr>
            </w:pPr>
          </w:p>
        </w:tc>
        <w:tc>
          <w:tcPr>
            <w:tcW w:w="2520" w:type="dxa"/>
          </w:tcPr>
          <w:p w:rsidR="00C03D6F" w:rsidRPr="002D0B26" w:rsidRDefault="00C03D6F" w:rsidP="00C47075">
            <w:pPr>
              <w:rPr>
                <w:rFonts w:ascii="Cambria" w:hAnsi="Cambria"/>
              </w:rPr>
            </w:pPr>
            <w:r w:rsidRPr="002D0B26">
              <w:rPr>
                <w:rFonts w:ascii="Cambria" w:hAnsi="Cambria"/>
              </w:rPr>
              <w:t>Lecture 3: Tort and contract conflicts</w:t>
            </w:r>
          </w:p>
        </w:tc>
      </w:tr>
      <w:tr w:rsidR="00C03D6F" w:rsidRPr="002D0B26" w:rsidTr="00C03D6F">
        <w:trPr>
          <w:jc w:val="center"/>
        </w:trPr>
        <w:tc>
          <w:tcPr>
            <w:tcW w:w="1008" w:type="dxa"/>
          </w:tcPr>
          <w:p w:rsidR="00C03D6F" w:rsidRPr="002D0B26" w:rsidRDefault="00C03D6F" w:rsidP="00C47075">
            <w:pPr>
              <w:jc w:val="both"/>
              <w:rPr>
                <w:rFonts w:ascii="Cambria" w:hAnsi="Cambria"/>
              </w:rPr>
            </w:pPr>
            <w:r w:rsidRPr="002D0B26">
              <w:rPr>
                <w:rFonts w:ascii="Cambria" w:hAnsi="Cambria"/>
              </w:rPr>
              <w:t xml:space="preserve">Tue </w:t>
            </w:r>
          </w:p>
          <w:p w:rsidR="00C03D6F" w:rsidRPr="002D0B26" w:rsidRDefault="00C03D6F" w:rsidP="00C47075">
            <w:pPr>
              <w:jc w:val="both"/>
              <w:rPr>
                <w:rFonts w:ascii="Cambria" w:hAnsi="Cambria"/>
              </w:rPr>
            </w:pPr>
            <w:r w:rsidRPr="002D0B26">
              <w:rPr>
                <w:rFonts w:ascii="Cambria" w:hAnsi="Cambria"/>
              </w:rPr>
              <w:t>12-Sept</w:t>
            </w:r>
          </w:p>
        </w:tc>
        <w:tc>
          <w:tcPr>
            <w:tcW w:w="2860" w:type="dxa"/>
          </w:tcPr>
          <w:p w:rsidR="00C03D6F" w:rsidRPr="002D0B26" w:rsidRDefault="00C03D6F" w:rsidP="00C47075">
            <w:pPr>
              <w:rPr>
                <w:rFonts w:ascii="Cambria" w:hAnsi="Cambria"/>
              </w:rPr>
            </w:pPr>
            <w:r w:rsidRPr="002D0B26">
              <w:rPr>
                <w:rFonts w:ascii="Cambria" w:hAnsi="Cambria"/>
              </w:rPr>
              <w:t>Lecture 4: Historical introduction</w:t>
            </w:r>
          </w:p>
        </w:tc>
        <w:tc>
          <w:tcPr>
            <w:tcW w:w="360" w:type="dxa"/>
            <w:vMerge/>
            <w:shd w:val="clear" w:color="auto" w:fill="BFBFBF" w:themeFill="background1" w:themeFillShade="BF"/>
          </w:tcPr>
          <w:p w:rsidR="00C03D6F" w:rsidRPr="002D0B26" w:rsidRDefault="00C03D6F" w:rsidP="00C47075">
            <w:pPr>
              <w:rPr>
                <w:rFonts w:ascii="Cambria" w:hAnsi="Cambria"/>
              </w:rPr>
            </w:pPr>
          </w:p>
        </w:tc>
        <w:tc>
          <w:tcPr>
            <w:tcW w:w="2520" w:type="dxa"/>
          </w:tcPr>
          <w:p w:rsidR="00C03D6F" w:rsidRPr="002D0B26" w:rsidRDefault="00C03D6F" w:rsidP="00C47075">
            <w:pPr>
              <w:rPr>
                <w:rFonts w:ascii="Cambria" w:hAnsi="Cambria"/>
              </w:rPr>
            </w:pPr>
            <w:r w:rsidRPr="002D0B26">
              <w:rPr>
                <w:rFonts w:ascii="Cambria" w:hAnsi="Cambria"/>
              </w:rPr>
              <w:t>Lecture 5: “Private” and “international” in PIL</w:t>
            </w:r>
          </w:p>
        </w:tc>
        <w:tc>
          <w:tcPr>
            <w:tcW w:w="447" w:type="dxa"/>
            <w:vMerge/>
            <w:shd w:val="clear" w:color="auto" w:fill="BFBFBF" w:themeFill="background1" w:themeFillShade="BF"/>
          </w:tcPr>
          <w:p w:rsidR="00C03D6F" w:rsidRPr="002D0B26" w:rsidRDefault="00C03D6F" w:rsidP="00C47075">
            <w:pPr>
              <w:rPr>
                <w:rFonts w:ascii="Cambria" w:hAnsi="Cambria"/>
              </w:rPr>
            </w:pPr>
          </w:p>
        </w:tc>
        <w:tc>
          <w:tcPr>
            <w:tcW w:w="2520" w:type="dxa"/>
          </w:tcPr>
          <w:p w:rsidR="00C03D6F" w:rsidRPr="002D0B26" w:rsidRDefault="00C03D6F" w:rsidP="00C47075">
            <w:pPr>
              <w:rPr>
                <w:rFonts w:ascii="Cambria" w:hAnsi="Cambria"/>
              </w:rPr>
            </w:pPr>
            <w:r w:rsidRPr="002D0B26">
              <w:rPr>
                <w:rFonts w:ascii="Cambria" w:hAnsi="Cambria"/>
              </w:rPr>
              <w:t xml:space="preserve">Lecture 6: </w:t>
            </w:r>
            <w:r>
              <w:rPr>
                <w:rFonts w:ascii="Cambria" w:hAnsi="Cambria"/>
              </w:rPr>
              <w:t>U</w:t>
            </w:r>
            <w:r w:rsidRPr="002D0B26">
              <w:rPr>
                <w:rFonts w:ascii="Cambria" w:hAnsi="Cambria"/>
              </w:rPr>
              <w:t>nilateralism and multilateralism.</w:t>
            </w:r>
          </w:p>
        </w:tc>
      </w:tr>
      <w:tr w:rsidR="00C03D6F" w:rsidRPr="002D0B26" w:rsidTr="00C03D6F">
        <w:trPr>
          <w:jc w:val="center"/>
        </w:trPr>
        <w:tc>
          <w:tcPr>
            <w:tcW w:w="1008" w:type="dxa"/>
          </w:tcPr>
          <w:p w:rsidR="00C03D6F" w:rsidRPr="002D0B26" w:rsidRDefault="00C03D6F" w:rsidP="00C47075">
            <w:pPr>
              <w:jc w:val="both"/>
              <w:rPr>
                <w:rFonts w:ascii="Cambria" w:hAnsi="Cambria"/>
              </w:rPr>
            </w:pPr>
            <w:r w:rsidRPr="002D0B26">
              <w:rPr>
                <w:rFonts w:ascii="Cambria" w:hAnsi="Cambria"/>
              </w:rPr>
              <w:t>Wed</w:t>
            </w:r>
          </w:p>
          <w:p w:rsidR="00C03D6F" w:rsidRPr="002D0B26" w:rsidRDefault="00C03D6F" w:rsidP="00C47075">
            <w:pPr>
              <w:jc w:val="both"/>
              <w:rPr>
                <w:rFonts w:ascii="Cambria" w:hAnsi="Cambria"/>
              </w:rPr>
            </w:pPr>
            <w:r w:rsidRPr="002D0B26">
              <w:rPr>
                <w:rFonts w:ascii="Cambria" w:hAnsi="Cambria"/>
              </w:rPr>
              <w:t>13-Sept</w:t>
            </w:r>
          </w:p>
        </w:tc>
        <w:tc>
          <w:tcPr>
            <w:tcW w:w="2860" w:type="dxa"/>
          </w:tcPr>
          <w:p w:rsidR="00C03D6F" w:rsidRPr="002D0B26" w:rsidRDefault="00C03D6F" w:rsidP="00C47075">
            <w:pPr>
              <w:rPr>
                <w:rFonts w:ascii="Cambria" w:hAnsi="Cambria"/>
              </w:rPr>
            </w:pPr>
            <w:r w:rsidRPr="002D0B26">
              <w:rPr>
                <w:rFonts w:ascii="Cambria" w:hAnsi="Cambria"/>
              </w:rPr>
              <w:t>Lecture 7: “Conflicts justice” vs “material justice”</w:t>
            </w:r>
          </w:p>
        </w:tc>
        <w:tc>
          <w:tcPr>
            <w:tcW w:w="360" w:type="dxa"/>
            <w:vMerge/>
            <w:shd w:val="clear" w:color="auto" w:fill="BFBFBF" w:themeFill="background1" w:themeFillShade="BF"/>
          </w:tcPr>
          <w:p w:rsidR="00C03D6F" w:rsidRPr="002D0B26" w:rsidRDefault="00C03D6F" w:rsidP="00C47075">
            <w:pPr>
              <w:rPr>
                <w:rFonts w:ascii="Cambria" w:hAnsi="Cambria"/>
              </w:rPr>
            </w:pPr>
          </w:p>
        </w:tc>
        <w:tc>
          <w:tcPr>
            <w:tcW w:w="2520" w:type="dxa"/>
          </w:tcPr>
          <w:p w:rsidR="00C03D6F" w:rsidRPr="002D0B26" w:rsidRDefault="00C03D6F" w:rsidP="00C47075">
            <w:pPr>
              <w:rPr>
                <w:rFonts w:ascii="Cambria" w:hAnsi="Cambria"/>
              </w:rPr>
            </w:pPr>
            <w:r w:rsidRPr="002D0B26">
              <w:rPr>
                <w:rFonts w:ascii="Cambria" w:hAnsi="Cambria"/>
              </w:rPr>
              <w:t>Lecture 8: Legal certainty vs. flexibility</w:t>
            </w:r>
          </w:p>
        </w:tc>
        <w:tc>
          <w:tcPr>
            <w:tcW w:w="447" w:type="dxa"/>
            <w:vMerge/>
            <w:shd w:val="clear" w:color="auto" w:fill="BFBFBF" w:themeFill="background1" w:themeFillShade="BF"/>
          </w:tcPr>
          <w:p w:rsidR="00C03D6F" w:rsidRPr="002D0B26" w:rsidRDefault="00C03D6F" w:rsidP="00C47075">
            <w:pPr>
              <w:rPr>
                <w:rFonts w:ascii="Cambria" w:hAnsi="Cambria"/>
              </w:rPr>
            </w:pPr>
          </w:p>
        </w:tc>
        <w:tc>
          <w:tcPr>
            <w:tcW w:w="2520" w:type="dxa"/>
          </w:tcPr>
          <w:p w:rsidR="00C03D6F" w:rsidRPr="002D0B26" w:rsidRDefault="00C03D6F" w:rsidP="00C47075">
            <w:pPr>
              <w:rPr>
                <w:rFonts w:ascii="Cambria" w:hAnsi="Cambria"/>
              </w:rPr>
            </w:pPr>
            <w:r w:rsidRPr="002D0B26">
              <w:rPr>
                <w:rFonts w:ascii="Cambria" w:hAnsi="Cambria"/>
              </w:rPr>
              <w:t>Lecture 9: Conclusions</w:t>
            </w:r>
          </w:p>
          <w:p w:rsidR="00C03D6F" w:rsidRPr="002D0B26" w:rsidRDefault="00C03D6F" w:rsidP="00C47075">
            <w:pPr>
              <w:rPr>
                <w:rFonts w:ascii="Cambria" w:hAnsi="Cambria"/>
              </w:rPr>
            </w:pPr>
          </w:p>
        </w:tc>
      </w:tr>
    </w:tbl>
    <w:p w:rsidR="00980EE7" w:rsidRPr="00C03D6F" w:rsidRDefault="00980EE7" w:rsidP="00980EE7">
      <w:pPr>
        <w:spacing w:after="120"/>
        <w:jc w:val="both"/>
        <w:rPr>
          <w:rFonts w:ascii="Cambria" w:hAnsi="Cambria"/>
          <w:sz w:val="2"/>
          <w:szCs w:val="24"/>
        </w:rPr>
      </w:pPr>
    </w:p>
    <w:p w:rsidR="0022510C" w:rsidRPr="002D0B26" w:rsidRDefault="005F705B" w:rsidP="0022510C">
      <w:pPr>
        <w:spacing w:after="120"/>
        <w:jc w:val="both"/>
        <w:rPr>
          <w:rFonts w:ascii="Cambria" w:hAnsi="Cambria"/>
          <w:b/>
          <w:sz w:val="24"/>
          <w:szCs w:val="24"/>
        </w:rPr>
      </w:pPr>
      <w:r w:rsidRPr="002D0B26">
        <w:rPr>
          <w:rFonts w:ascii="Cambria" w:hAnsi="Cambria"/>
          <w:sz w:val="24"/>
          <w:szCs w:val="24"/>
        </w:rPr>
        <w:t xml:space="preserve">NLUD has established a National Academy of Law Teachers (NALT) to improve quality of teaching and research. Keeping this in view, the University is organizing a 3-days mini-course on </w:t>
      </w:r>
      <w:r w:rsidRPr="002D0B26">
        <w:rPr>
          <w:rFonts w:ascii="Cambria" w:hAnsi="Cambria"/>
          <w:b/>
          <w:sz w:val="24"/>
          <w:szCs w:val="24"/>
        </w:rPr>
        <w:t xml:space="preserve">“Comparative Private International Law” by Professor Symeon C. Symeonides, </w:t>
      </w:r>
      <w:r w:rsidR="0022510C" w:rsidRPr="002D0B26">
        <w:rPr>
          <w:rFonts w:ascii="Cambria" w:hAnsi="Cambria"/>
          <w:b/>
          <w:sz w:val="24"/>
          <w:szCs w:val="24"/>
        </w:rPr>
        <w:t>during 11-13 September 2017.</w:t>
      </w:r>
    </w:p>
    <w:p w:rsidR="00AB7238" w:rsidRPr="002D0B26" w:rsidRDefault="008B0662" w:rsidP="005F705B">
      <w:pPr>
        <w:spacing w:after="120"/>
        <w:jc w:val="both"/>
        <w:rPr>
          <w:rFonts w:ascii="Cambria" w:hAnsi="Cambria"/>
          <w:sz w:val="24"/>
          <w:szCs w:val="24"/>
        </w:rPr>
      </w:pPr>
      <w:r w:rsidRPr="002D0B26">
        <w:rPr>
          <w:rFonts w:ascii="Cambria" w:hAnsi="Cambria"/>
          <w:sz w:val="24"/>
          <w:szCs w:val="24"/>
        </w:rPr>
        <w:t xml:space="preserve">This course will examine how different countries resolve </w:t>
      </w:r>
      <w:r w:rsidR="00AD5576" w:rsidRPr="002D0B26">
        <w:rPr>
          <w:rFonts w:ascii="Cambria" w:hAnsi="Cambria"/>
          <w:sz w:val="24"/>
          <w:szCs w:val="24"/>
        </w:rPr>
        <w:t xml:space="preserve">certain </w:t>
      </w:r>
      <w:r w:rsidRPr="002D0B26">
        <w:rPr>
          <w:rFonts w:ascii="Cambria" w:hAnsi="Cambria"/>
          <w:sz w:val="24"/>
          <w:szCs w:val="24"/>
        </w:rPr>
        <w:t>conflicts between their respective laws and how they respond to some of the fundamental philosophical and methodological</w:t>
      </w:r>
      <w:r w:rsidR="00AD5576" w:rsidRPr="002D0B26">
        <w:rPr>
          <w:rFonts w:ascii="Cambria" w:hAnsi="Cambria"/>
          <w:sz w:val="24"/>
          <w:szCs w:val="24"/>
        </w:rPr>
        <w:t xml:space="preserve"> questions </w:t>
      </w:r>
      <w:r w:rsidRPr="002D0B26">
        <w:rPr>
          <w:rFonts w:ascii="Cambria" w:hAnsi="Cambria"/>
          <w:sz w:val="24"/>
          <w:szCs w:val="24"/>
        </w:rPr>
        <w:t xml:space="preserve">of Private International Law (PIL). After a brief exposition of </w:t>
      </w:r>
      <w:r w:rsidR="00AD5576" w:rsidRPr="002D0B26">
        <w:rPr>
          <w:rFonts w:ascii="Cambria" w:hAnsi="Cambria"/>
          <w:sz w:val="24"/>
          <w:szCs w:val="24"/>
        </w:rPr>
        <w:t xml:space="preserve">how classical PIL </w:t>
      </w:r>
      <w:r w:rsidR="00A35FA2" w:rsidRPr="002D0B26">
        <w:rPr>
          <w:rFonts w:ascii="Cambria" w:hAnsi="Cambria"/>
          <w:sz w:val="24"/>
          <w:szCs w:val="24"/>
        </w:rPr>
        <w:t>formulated and answer</w:t>
      </w:r>
      <w:r w:rsidR="00402198" w:rsidRPr="002D0B26">
        <w:rPr>
          <w:rFonts w:ascii="Cambria" w:hAnsi="Cambria"/>
          <w:sz w:val="24"/>
          <w:szCs w:val="24"/>
        </w:rPr>
        <w:t>ed</w:t>
      </w:r>
      <w:r w:rsidR="00A35FA2" w:rsidRPr="002D0B26">
        <w:rPr>
          <w:rFonts w:ascii="Cambria" w:hAnsi="Cambria"/>
          <w:sz w:val="24"/>
          <w:szCs w:val="24"/>
        </w:rPr>
        <w:t xml:space="preserve"> the</w:t>
      </w:r>
      <w:r w:rsidR="00AD5576" w:rsidRPr="002D0B26">
        <w:rPr>
          <w:rFonts w:ascii="Cambria" w:hAnsi="Cambria"/>
          <w:sz w:val="24"/>
          <w:szCs w:val="24"/>
        </w:rPr>
        <w:t xml:space="preserve">se questions, </w:t>
      </w:r>
      <w:r w:rsidR="009A2889">
        <w:rPr>
          <w:rFonts w:ascii="Cambria" w:hAnsi="Cambria"/>
          <w:sz w:val="24"/>
          <w:szCs w:val="24"/>
        </w:rPr>
        <w:t>the course w</w:t>
      </w:r>
      <w:r w:rsidR="0002404B" w:rsidRPr="002D0B26">
        <w:rPr>
          <w:rFonts w:ascii="Cambria" w:hAnsi="Cambria"/>
          <w:sz w:val="24"/>
          <w:szCs w:val="24"/>
        </w:rPr>
        <w:t xml:space="preserve">ill </w:t>
      </w:r>
      <w:r w:rsidR="00AD5576" w:rsidRPr="002D0B26">
        <w:rPr>
          <w:rFonts w:ascii="Cambria" w:hAnsi="Cambria"/>
          <w:sz w:val="24"/>
          <w:szCs w:val="24"/>
        </w:rPr>
        <w:t xml:space="preserve">compare the answers given to the same questions by the nearly two hundred national </w:t>
      </w:r>
      <w:r w:rsidR="00081CD1" w:rsidRPr="002D0B26">
        <w:rPr>
          <w:rFonts w:ascii="Cambria" w:hAnsi="Cambria"/>
          <w:sz w:val="24"/>
          <w:szCs w:val="24"/>
        </w:rPr>
        <w:t xml:space="preserve">PIL </w:t>
      </w:r>
      <w:r w:rsidRPr="002D0B26">
        <w:rPr>
          <w:rFonts w:ascii="Cambria" w:hAnsi="Cambria"/>
          <w:sz w:val="24"/>
          <w:szCs w:val="24"/>
        </w:rPr>
        <w:t xml:space="preserve">codifications </w:t>
      </w:r>
      <w:r w:rsidR="00AD5576" w:rsidRPr="002D0B26">
        <w:rPr>
          <w:rFonts w:ascii="Cambria" w:hAnsi="Cambria"/>
          <w:sz w:val="24"/>
          <w:szCs w:val="24"/>
        </w:rPr>
        <w:t xml:space="preserve">and international conventions adopted around the world during the last fifty years. </w:t>
      </w:r>
    </w:p>
    <w:p w:rsidR="00241A20" w:rsidRPr="002D0B26" w:rsidRDefault="003C2BB8" w:rsidP="005F705B">
      <w:pPr>
        <w:spacing w:after="120"/>
        <w:jc w:val="both"/>
        <w:rPr>
          <w:rFonts w:ascii="Cambria" w:hAnsi="Cambria"/>
          <w:sz w:val="24"/>
          <w:szCs w:val="24"/>
        </w:rPr>
      </w:pPr>
      <w:r w:rsidRPr="002D0B26">
        <w:rPr>
          <w:rFonts w:ascii="Cambria" w:hAnsi="Cambria"/>
          <w:sz w:val="24"/>
          <w:szCs w:val="24"/>
        </w:rPr>
        <w:t>The course consists of nine ninety-minute lectures</w:t>
      </w:r>
      <w:r w:rsidR="00D14EDB" w:rsidRPr="002D0B26">
        <w:rPr>
          <w:rFonts w:ascii="Cambria" w:hAnsi="Cambria"/>
          <w:sz w:val="24"/>
          <w:szCs w:val="24"/>
        </w:rPr>
        <w:t xml:space="preserve"> as indicated in the </w:t>
      </w:r>
      <w:r w:rsidR="006D6C14" w:rsidRPr="002D0B26">
        <w:rPr>
          <w:rFonts w:ascii="Cambria" w:hAnsi="Cambria"/>
          <w:sz w:val="24"/>
          <w:szCs w:val="24"/>
        </w:rPr>
        <w:t xml:space="preserve">attached </w:t>
      </w:r>
      <w:r w:rsidR="009A2889">
        <w:rPr>
          <w:rFonts w:ascii="Cambria" w:hAnsi="Cambria"/>
          <w:sz w:val="24"/>
          <w:szCs w:val="24"/>
        </w:rPr>
        <w:t xml:space="preserve">schedule. It will </w:t>
      </w:r>
      <w:r w:rsidR="007A72D7" w:rsidRPr="002D0B26">
        <w:rPr>
          <w:rFonts w:ascii="Cambria" w:hAnsi="Cambria"/>
          <w:sz w:val="24"/>
          <w:szCs w:val="24"/>
        </w:rPr>
        <w:t xml:space="preserve">cover the topics </w:t>
      </w:r>
      <w:r w:rsidR="006D6C14" w:rsidRPr="002D0B26">
        <w:rPr>
          <w:rFonts w:ascii="Cambria" w:hAnsi="Cambria"/>
          <w:sz w:val="24"/>
          <w:szCs w:val="24"/>
        </w:rPr>
        <w:t xml:space="preserve">described </w:t>
      </w:r>
      <w:r w:rsidR="007A72D7" w:rsidRPr="002D0B26">
        <w:rPr>
          <w:rFonts w:ascii="Cambria" w:hAnsi="Cambria"/>
          <w:sz w:val="24"/>
          <w:szCs w:val="24"/>
        </w:rPr>
        <w:t>below:</w:t>
      </w:r>
      <w:r w:rsidRPr="002D0B26">
        <w:rPr>
          <w:rFonts w:ascii="Cambria" w:hAnsi="Cambria"/>
          <w:sz w:val="24"/>
          <w:szCs w:val="24"/>
        </w:rPr>
        <w:t xml:space="preserve"> </w:t>
      </w:r>
    </w:p>
    <w:p w:rsidR="00757066" w:rsidRDefault="003C2BB8" w:rsidP="005F705B">
      <w:pPr>
        <w:spacing w:after="120"/>
        <w:jc w:val="both"/>
        <w:rPr>
          <w:rFonts w:ascii="Cambria" w:hAnsi="Cambria"/>
          <w:sz w:val="24"/>
          <w:szCs w:val="24"/>
        </w:rPr>
      </w:pPr>
      <w:r w:rsidRPr="002D0B26">
        <w:rPr>
          <w:rFonts w:ascii="Cambria" w:hAnsi="Cambria"/>
          <w:b/>
          <w:smallCaps/>
          <w:sz w:val="24"/>
          <w:szCs w:val="24"/>
          <w:u w:val="single"/>
        </w:rPr>
        <w:t>Lectures</w:t>
      </w:r>
      <w:r w:rsidRPr="002D0B26">
        <w:rPr>
          <w:rFonts w:ascii="Cambria" w:hAnsi="Cambria"/>
          <w:b/>
          <w:sz w:val="24"/>
          <w:szCs w:val="24"/>
          <w:u w:val="single"/>
        </w:rPr>
        <w:t xml:space="preserve"> 1-3</w:t>
      </w:r>
      <w:r w:rsidRPr="002D0B26">
        <w:rPr>
          <w:rFonts w:ascii="Cambria" w:hAnsi="Cambria"/>
          <w:sz w:val="24"/>
          <w:szCs w:val="24"/>
        </w:rPr>
        <w:t xml:space="preserve"> will explore </w:t>
      </w:r>
      <w:r w:rsidR="0002404B" w:rsidRPr="002D0B26">
        <w:rPr>
          <w:rFonts w:ascii="Cambria" w:hAnsi="Cambria"/>
          <w:sz w:val="24"/>
          <w:szCs w:val="24"/>
        </w:rPr>
        <w:t xml:space="preserve">two practical questions: (1) </w:t>
      </w:r>
      <w:r w:rsidR="00803B1B" w:rsidRPr="002D0B26">
        <w:rPr>
          <w:rFonts w:ascii="Cambria" w:hAnsi="Cambria"/>
          <w:sz w:val="24"/>
          <w:szCs w:val="24"/>
        </w:rPr>
        <w:t>H</w:t>
      </w:r>
      <w:r w:rsidR="0002404B" w:rsidRPr="002D0B26">
        <w:rPr>
          <w:rFonts w:ascii="Cambria" w:hAnsi="Cambria"/>
          <w:sz w:val="24"/>
          <w:szCs w:val="24"/>
        </w:rPr>
        <w:t xml:space="preserve">ow </w:t>
      </w:r>
      <w:r w:rsidRPr="002D0B26">
        <w:rPr>
          <w:rFonts w:ascii="Cambria" w:hAnsi="Cambria"/>
          <w:sz w:val="24"/>
          <w:szCs w:val="24"/>
        </w:rPr>
        <w:t xml:space="preserve">India and </w:t>
      </w:r>
      <w:r w:rsidR="0002404B" w:rsidRPr="002D0B26">
        <w:rPr>
          <w:rFonts w:ascii="Cambria" w:hAnsi="Cambria"/>
          <w:sz w:val="24"/>
          <w:szCs w:val="24"/>
        </w:rPr>
        <w:t xml:space="preserve">various </w:t>
      </w:r>
      <w:r w:rsidRPr="002D0B26">
        <w:rPr>
          <w:rFonts w:ascii="Cambria" w:hAnsi="Cambria"/>
          <w:sz w:val="24"/>
          <w:szCs w:val="24"/>
        </w:rPr>
        <w:t xml:space="preserve">other </w:t>
      </w:r>
      <w:r w:rsidR="0002404B" w:rsidRPr="002D0B26">
        <w:rPr>
          <w:rFonts w:ascii="Cambria" w:hAnsi="Cambria"/>
          <w:sz w:val="24"/>
          <w:szCs w:val="24"/>
        </w:rPr>
        <w:t>countries resolve tort conflicts</w:t>
      </w:r>
      <w:r w:rsidR="00803B1B" w:rsidRPr="002D0B26">
        <w:rPr>
          <w:rFonts w:ascii="Cambria" w:hAnsi="Cambria"/>
          <w:sz w:val="24"/>
          <w:szCs w:val="24"/>
        </w:rPr>
        <w:t>;</w:t>
      </w:r>
      <w:r w:rsidR="0002404B" w:rsidRPr="002D0B26">
        <w:rPr>
          <w:rFonts w:ascii="Cambria" w:hAnsi="Cambria"/>
          <w:sz w:val="24"/>
          <w:szCs w:val="24"/>
        </w:rPr>
        <w:t xml:space="preserve"> and (2) </w:t>
      </w:r>
      <w:r w:rsidR="00803B1B" w:rsidRPr="002D0B26">
        <w:rPr>
          <w:rFonts w:ascii="Cambria" w:hAnsi="Cambria"/>
          <w:sz w:val="24"/>
          <w:szCs w:val="24"/>
        </w:rPr>
        <w:t>T</w:t>
      </w:r>
      <w:r w:rsidR="0002404B" w:rsidRPr="002D0B26">
        <w:rPr>
          <w:rFonts w:ascii="Cambria" w:hAnsi="Cambria"/>
          <w:sz w:val="24"/>
          <w:szCs w:val="24"/>
        </w:rPr>
        <w:t>o what extend the</w:t>
      </w:r>
      <w:r w:rsidR="002D0B26">
        <w:rPr>
          <w:rFonts w:ascii="Cambria" w:hAnsi="Cambria"/>
          <w:sz w:val="24"/>
          <w:szCs w:val="24"/>
        </w:rPr>
        <w:t xml:space="preserve">se countries </w:t>
      </w:r>
      <w:r w:rsidR="0002404B" w:rsidRPr="002D0B26">
        <w:rPr>
          <w:rFonts w:ascii="Cambria" w:hAnsi="Cambria"/>
          <w:sz w:val="24"/>
          <w:szCs w:val="24"/>
        </w:rPr>
        <w:t xml:space="preserve">allow contracting parties to agree on the law that will govern </w:t>
      </w:r>
      <w:r w:rsidR="00AB7238" w:rsidRPr="002D0B26">
        <w:rPr>
          <w:rFonts w:ascii="Cambria" w:hAnsi="Cambria"/>
          <w:sz w:val="24"/>
          <w:szCs w:val="24"/>
        </w:rPr>
        <w:t>their future disputes</w:t>
      </w:r>
      <w:r w:rsidR="00402198" w:rsidRPr="002D0B26">
        <w:rPr>
          <w:rFonts w:ascii="Cambria" w:hAnsi="Cambria"/>
          <w:sz w:val="24"/>
          <w:szCs w:val="24"/>
        </w:rPr>
        <w:t xml:space="preserve"> (party autonomy).</w:t>
      </w:r>
      <w:r w:rsidR="00241A20" w:rsidRPr="002D0B26">
        <w:rPr>
          <w:rFonts w:ascii="Cambria" w:hAnsi="Cambria"/>
          <w:sz w:val="24"/>
          <w:szCs w:val="24"/>
        </w:rPr>
        <w:t xml:space="preserve"> </w:t>
      </w:r>
    </w:p>
    <w:p w:rsidR="003C2BB8" w:rsidRPr="002D0B26" w:rsidRDefault="00241A20" w:rsidP="005F705B">
      <w:pPr>
        <w:spacing w:after="120"/>
        <w:jc w:val="both"/>
        <w:rPr>
          <w:rFonts w:ascii="Cambria" w:hAnsi="Cambria"/>
          <w:sz w:val="24"/>
          <w:szCs w:val="24"/>
        </w:rPr>
      </w:pPr>
      <w:r w:rsidRPr="002D0B26">
        <w:rPr>
          <w:rFonts w:ascii="Cambria" w:hAnsi="Cambria"/>
          <w:b/>
          <w:sz w:val="24"/>
          <w:szCs w:val="24"/>
        </w:rPr>
        <w:t>Reading Materials</w:t>
      </w:r>
      <w:r w:rsidRPr="002D0B26">
        <w:rPr>
          <w:rFonts w:ascii="Cambria" w:hAnsi="Cambria"/>
          <w:sz w:val="24"/>
          <w:szCs w:val="24"/>
        </w:rPr>
        <w:t xml:space="preserve">: </w:t>
      </w:r>
      <w:proofErr w:type="spellStart"/>
      <w:r w:rsidRPr="002D0B26">
        <w:rPr>
          <w:rFonts w:ascii="Cambria" w:hAnsi="Cambria"/>
          <w:sz w:val="24"/>
          <w:szCs w:val="24"/>
        </w:rPr>
        <w:t>Symeonides</w:t>
      </w:r>
      <w:proofErr w:type="spellEnd"/>
      <w:r w:rsidRPr="002D0B26">
        <w:rPr>
          <w:rFonts w:ascii="Cambria" w:hAnsi="Cambria"/>
          <w:sz w:val="24"/>
          <w:szCs w:val="24"/>
        </w:rPr>
        <w:t xml:space="preserve">, </w:t>
      </w:r>
      <w:r w:rsidRPr="002D0B26">
        <w:rPr>
          <w:rFonts w:ascii="Cambria" w:hAnsi="Cambria"/>
          <w:i/>
          <w:sz w:val="24"/>
          <w:szCs w:val="24"/>
        </w:rPr>
        <w:t xml:space="preserve">Codifying Choice of Law </w:t>
      </w:r>
      <w:proofErr w:type="gramStart"/>
      <w:r w:rsidRPr="002D0B26">
        <w:rPr>
          <w:rFonts w:ascii="Cambria" w:hAnsi="Cambria"/>
          <w:i/>
          <w:sz w:val="24"/>
          <w:szCs w:val="24"/>
        </w:rPr>
        <w:t>Around the World: An</w:t>
      </w:r>
      <w:proofErr w:type="gramEnd"/>
      <w:r w:rsidRPr="002D0B26">
        <w:rPr>
          <w:rFonts w:ascii="Cambria" w:hAnsi="Cambria"/>
          <w:i/>
          <w:sz w:val="24"/>
          <w:szCs w:val="24"/>
        </w:rPr>
        <w:t xml:space="preserve"> International Comparative Analysis</w:t>
      </w:r>
      <w:r w:rsidRPr="002D0B26">
        <w:rPr>
          <w:rFonts w:ascii="Cambria" w:hAnsi="Cambria"/>
          <w:sz w:val="24"/>
          <w:szCs w:val="24"/>
        </w:rPr>
        <w:t>, chapters 2 and 3, pages 39-170 (</w:t>
      </w:r>
      <w:r w:rsidR="003A5FE5" w:rsidRPr="002D0B26">
        <w:rPr>
          <w:rFonts w:ascii="Cambria" w:hAnsi="Cambria"/>
          <w:sz w:val="24"/>
          <w:szCs w:val="24"/>
        </w:rPr>
        <w:t>c</w:t>
      </w:r>
      <w:r w:rsidRPr="002D0B26">
        <w:rPr>
          <w:rFonts w:ascii="Cambria" w:hAnsi="Cambria"/>
          <w:sz w:val="24"/>
          <w:szCs w:val="24"/>
        </w:rPr>
        <w:t xml:space="preserve">opyright </w:t>
      </w:r>
      <w:r w:rsidR="002D0B26">
        <w:rPr>
          <w:rFonts w:ascii="Cambria" w:hAnsi="Cambria"/>
          <w:sz w:val="24"/>
          <w:szCs w:val="24"/>
        </w:rPr>
        <w:t xml:space="preserve">2014 by </w:t>
      </w:r>
      <w:r w:rsidRPr="002D0B26">
        <w:rPr>
          <w:rFonts w:ascii="Cambria" w:hAnsi="Cambria"/>
          <w:sz w:val="24"/>
          <w:szCs w:val="24"/>
        </w:rPr>
        <w:t>Oxford University Press).</w:t>
      </w:r>
    </w:p>
    <w:p w:rsidR="00C03D6F" w:rsidRDefault="009809A8" w:rsidP="004A5A2F">
      <w:pPr>
        <w:spacing w:after="120"/>
        <w:jc w:val="both"/>
        <w:rPr>
          <w:rFonts w:ascii="Cambria" w:hAnsi="Cambria"/>
          <w:sz w:val="24"/>
          <w:szCs w:val="24"/>
        </w:rPr>
      </w:pPr>
      <w:r w:rsidRPr="002D0B26">
        <w:rPr>
          <w:rFonts w:ascii="Cambria" w:hAnsi="Cambria"/>
          <w:b/>
          <w:smallCaps/>
          <w:sz w:val="24"/>
          <w:szCs w:val="24"/>
          <w:u w:val="single"/>
        </w:rPr>
        <w:t>Lecture 4</w:t>
      </w:r>
      <w:r w:rsidRPr="002D0B26">
        <w:rPr>
          <w:rFonts w:ascii="Cambria" w:hAnsi="Cambria"/>
          <w:sz w:val="24"/>
          <w:szCs w:val="24"/>
        </w:rPr>
        <w:t xml:space="preserve"> will</w:t>
      </w:r>
      <w:r w:rsidR="003A5FE5" w:rsidRPr="002D0B26">
        <w:rPr>
          <w:rFonts w:ascii="Cambria" w:hAnsi="Cambria"/>
          <w:sz w:val="24"/>
          <w:szCs w:val="24"/>
        </w:rPr>
        <w:t>:</w:t>
      </w:r>
      <w:r w:rsidRPr="002D0B26">
        <w:rPr>
          <w:rFonts w:ascii="Cambria" w:hAnsi="Cambria"/>
          <w:sz w:val="24"/>
          <w:szCs w:val="24"/>
        </w:rPr>
        <w:t xml:space="preserve"> </w:t>
      </w:r>
      <w:r w:rsidR="007A72D7" w:rsidRPr="002D0B26">
        <w:rPr>
          <w:rFonts w:ascii="Cambria" w:hAnsi="Cambria"/>
          <w:sz w:val="24"/>
          <w:szCs w:val="24"/>
        </w:rPr>
        <w:t xml:space="preserve">(a) </w:t>
      </w:r>
      <w:proofErr w:type="gramStart"/>
      <w:r w:rsidRPr="002D0B26">
        <w:rPr>
          <w:rFonts w:ascii="Cambria" w:hAnsi="Cambria"/>
          <w:sz w:val="24"/>
          <w:szCs w:val="24"/>
        </w:rPr>
        <w:t>provide</w:t>
      </w:r>
      <w:proofErr w:type="gramEnd"/>
      <w:r w:rsidRPr="002D0B26">
        <w:rPr>
          <w:rFonts w:ascii="Cambria" w:hAnsi="Cambria"/>
          <w:sz w:val="24"/>
          <w:szCs w:val="24"/>
        </w:rPr>
        <w:t xml:space="preserve"> a historical introduction to PIL, focusing on the classical doctrines developed </w:t>
      </w:r>
      <w:r w:rsidR="004A5A2F" w:rsidRPr="002D0B26">
        <w:rPr>
          <w:rFonts w:ascii="Cambria" w:hAnsi="Cambria"/>
          <w:sz w:val="24"/>
          <w:szCs w:val="24"/>
        </w:rPr>
        <w:t>in the nineteenth century</w:t>
      </w:r>
      <w:r w:rsidR="009A2889">
        <w:rPr>
          <w:rFonts w:ascii="Cambria" w:hAnsi="Cambria"/>
          <w:sz w:val="24"/>
          <w:szCs w:val="24"/>
        </w:rPr>
        <w:t>,</w:t>
      </w:r>
      <w:r w:rsidR="004A5A2F" w:rsidRPr="002D0B26">
        <w:rPr>
          <w:rFonts w:ascii="Cambria" w:hAnsi="Cambria"/>
          <w:sz w:val="24"/>
          <w:szCs w:val="24"/>
        </w:rPr>
        <w:t xml:space="preserve"> and will begin examining whether these </w:t>
      </w:r>
    </w:p>
    <w:p w:rsidR="00C03D6F" w:rsidRDefault="00C03D6F" w:rsidP="004A5A2F">
      <w:pPr>
        <w:spacing w:after="120"/>
        <w:jc w:val="both"/>
        <w:rPr>
          <w:rFonts w:ascii="Cambria" w:hAnsi="Cambria"/>
          <w:sz w:val="24"/>
          <w:szCs w:val="24"/>
        </w:rPr>
      </w:pPr>
    </w:p>
    <w:p w:rsidR="00C03D6F" w:rsidRDefault="00C03D6F" w:rsidP="004A5A2F">
      <w:pPr>
        <w:spacing w:after="120"/>
        <w:jc w:val="both"/>
        <w:rPr>
          <w:rFonts w:ascii="Cambria" w:hAnsi="Cambria"/>
          <w:sz w:val="24"/>
          <w:szCs w:val="24"/>
        </w:rPr>
      </w:pPr>
    </w:p>
    <w:p w:rsidR="00B476B1" w:rsidRDefault="004A5A2F" w:rsidP="004A5A2F">
      <w:pPr>
        <w:spacing w:after="120"/>
        <w:jc w:val="both"/>
        <w:rPr>
          <w:rFonts w:ascii="Cambria" w:hAnsi="Cambria"/>
          <w:sz w:val="24"/>
          <w:szCs w:val="24"/>
        </w:rPr>
      </w:pPr>
      <w:proofErr w:type="gramStart"/>
      <w:r w:rsidRPr="002D0B26">
        <w:rPr>
          <w:rFonts w:ascii="Cambria" w:hAnsi="Cambria"/>
          <w:sz w:val="24"/>
          <w:szCs w:val="24"/>
        </w:rPr>
        <w:t>doctrines</w:t>
      </w:r>
      <w:proofErr w:type="gramEnd"/>
      <w:r w:rsidRPr="002D0B26">
        <w:rPr>
          <w:rFonts w:ascii="Cambria" w:hAnsi="Cambria"/>
          <w:sz w:val="24"/>
          <w:szCs w:val="24"/>
        </w:rPr>
        <w:t xml:space="preserve"> correspond to</w:t>
      </w:r>
      <w:r w:rsidR="009A2889">
        <w:rPr>
          <w:rFonts w:ascii="Cambria" w:hAnsi="Cambria"/>
          <w:sz w:val="24"/>
          <w:szCs w:val="24"/>
        </w:rPr>
        <w:t>,</w:t>
      </w:r>
      <w:r w:rsidRPr="002D0B26">
        <w:rPr>
          <w:rFonts w:ascii="Cambria" w:hAnsi="Cambria"/>
          <w:sz w:val="24"/>
          <w:szCs w:val="24"/>
        </w:rPr>
        <w:t xml:space="preserve"> and can cope with</w:t>
      </w:r>
      <w:r w:rsidR="009A2889">
        <w:rPr>
          <w:rFonts w:ascii="Cambria" w:hAnsi="Cambria"/>
          <w:sz w:val="24"/>
          <w:szCs w:val="24"/>
        </w:rPr>
        <w:t>,</w:t>
      </w:r>
      <w:r w:rsidRPr="002D0B26">
        <w:rPr>
          <w:rFonts w:ascii="Cambria" w:hAnsi="Cambria"/>
          <w:sz w:val="24"/>
          <w:szCs w:val="24"/>
        </w:rPr>
        <w:t xml:space="preserve"> contemporary realities</w:t>
      </w:r>
      <w:r w:rsidR="007A72D7" w:rsidRPr="002D0B26">
        <w:rPr>
          <w:rFonts w:ascii="Cambria" w:hAnsi="Cambria"/>
          <w:sz w:val="24"/>
          <w:szCs w:val="24"/>
        </w:rPr>
        <w:t>; and (b) discuss the “</w:t>
      </w:r>
      <w:proofErr w:type="spellStart"/>
      <w:r w:rsidR="007A72D7" w:rsidRPr="002D0B26">
        <w:rPr>
          <w:rFonts w:ascii="Cambria" w:hAnsi="Cambria"/>
          <w:sz w:val="24"/>
          <w:szCs w:val="24"/>
        </w:rPr>
        <w:t>substantivist</w:t>
      </w:r>
      <w:proofErr w:type="spellEnd"/>
      <w:r w:rsidR="007A72D7" w:rsidRPr="002D0B26">
        <w:rPr>
          <w:rFonts w:ascii="Cambria" w:hAnsi="Cambria"/>
          <w:sz w:val="24"/>
          <w:szCs w:val="24"/>
        </w:rPr>
        <w:t xml:space="preserve">” method of avoiding or resolving multistate conflicts by unifying or harmonizing the substantive laws of the involved states. </w:t>
      </w:r>
    </w:p>
    <w:p w:rsidR="004A5A2F" w:rsidRPr="002D0B26" w:rsidRDefault="004A5A2F" w:rsidP="004A5A2F">
      <w:pPr>
        <w:spacing w:after="120"/>
        <w:jc w:val="both"/>
        <w:rPr>
          <w:rFonts w:ascii="Cambria" w:hAnsi="Cambria"/>
          <w:sz w:val="24"/>
          <w:szCs w:val="24"/>
        </w:rPr>
      </w:pPr>
      <w:r w:rsidRPr="002D0B26">
        <w:rPr>
          <w:rFonts w:ascii="Cambria" w:hAnsi="Cambria"/>
          <w:b/>
          <w:sz w:val="24"/>
          <w:szCs w:val="24"/>
        </w:rPr>
        <w:t>Reading materials</w:t>
      </w:r>
      <w:r w:rsidRPr="002D0B26">
        <w:rPr>
          <w:rFonts w:ascii="Cambria" w:hAnsi="Cambria"/>
          <w:sz w:val="24"/>
          <w:szCs w:val="24"/>
        </w:rPr>
        <w:t xml:space="preserve">: </w:t>
      </w:r>
      <w:proofErr w:type="spellStart"/>
      <w:r w:rsidRPr="002D0B26">
        <w:rPr>
          <w:rFonts w:ascii="Cambria" w:hAnsi="Cambria"/>
          <w:sz w:val="24"/>
          <w:szCs w:val="24"/>
        </w:rPr>
        <w:t>Symeonides</w:t>
      </w:r>
      <w:proofErr w:type="spellEnd"/>
      <w:r w:rsidRPr="002D0B26">
        <w:rPr>
          <w:rFonts w:ascii="Cambria" w:hAnsi="Cambria"/>
          <w:sz w:val="24"/>
          <w:szCs w:val="24"/>
        </w:rPr>
        <w:t xml:space="preserve">, </w:t>
      </w:r>
      <w:r w:rsidRPr="002D0B26">
        <w:rPr>
          <w:rFonts w:ascii="Cambria" w:hAnsi="Cambria"/>
          <w:i/>
          <w:sz w:val="24"/>
          <w:szCs w:val="24"/>
        </w:rPr>
        <w:t>Private International Law: Idealism, Pragmatism, Eclecticism</w:t>
      </w:r>
      <w:r w:rsidRPr="002D0B26">
        <w:rPr>
          <w:rFonts w:ascii="Cambria" w:hAnsi="Cambria"/>
          <w:sz w:val="24"/>
          <w:szCs w:val="24"/>
        </w:rPr>
        <w:t>, chapter</w:t>
      </w:r>
      <w:r w:rsidR="007A72D7" w:rsidRPr="002D0B26">
        <w:rPr>
          <w:rFonts w:ascii="Cambria" w:hAnsi="Cambria"/>
          <w:sz w:val="24"/>
          <w:szCs w:val="24"/>
        </w:rPr>
        <w:t>s</w:t>
      </w:r>
      <w:r w:rsidR="003A5FE5" w:rsidRPr="002D0B26">
        <w:rPr>
          <w:rFonts w:ascii="Cambria" w:hAnsi="Cambria"/>
          <w:sz w:val="24"/>
          <w:szCs w:val="24"/>
        </w:rPr>
        <w:t xml:space="preserve"> I-II</w:t>
      </w:r>
      <w:r w:rsidR="007A72D7" w:rsidRPr="002D0B26">
        <w:rPr>
          <w:rFonts w:ascii="Cambria" w:hAnsi="Cambria"/>
          <w:sz w:val="24"/>
          <w:szCs w:val="24"/>
        </w:rPr>
        <w:t>,</w:t>
      </w:r>
      <w:r w:rsidRPr="002D0B26">
        <w:rPr>
          <w:rFonts w:ascii="Cambria" w:hAnsi="Cambria"/>
          <w:sz w:val="24"/>
          <w:szCs w:val="24"/>
        </w:rPr>
        <w:t xml:space="preserve"> pages 35-</w:t>
      </w:r>
      <w:r w:rsidR="007A72D7" w:rsidRPr="002D0B26">
        <w:rPr>
          <w:rFonts w:ascii="Cambria" w:hAnsi="Cambria"/>
          <w:sz w:val="24"/>
          <w:szCs w:val="24"/>
        </w:rPr>
        <w:t>84</w:t>
      </w:r>
      <w:r w:rsidRPr="002D0B26">
        <w:rPr>
          <w:rFonts w:ascii="Cambria" w:hAnsi="Cambria"/>
          <w:sz w:val="24"/>
          <w:szCs w:val="24"/>
        </w:rPr>
        <w:t xml:space="preserve"> (copyright </w:t>
      </w:r>
      <w:r w:rsidR="002D0B26">
        <w:rPr>
          <w:rFonts w:ascii="Cambria" w:hAnsi="Cambria"/>
          <w:sz w:val="24"/>
          <w:szCs w:val="24"/>
        </w:rPr>
        <w:t xml:space="preserve">2017 </w:t>
      </w:r>
      <w:r w:rsidRPr="002D0B26">
        <w:rPr>
          <w:rFonts w:ascii="Cambria" w:hAnsi="Cambria"/>
          <w:sz w:val="24"/>
          <w:szCs w:val="24"/>
        </w:rPr>
        <w:t xml:space="preserve">by The Hague Academy of International Law) (hereinafter </w:t>
      </w:r>
      <w:r w:rsidR="002D0B26">
        <w:rPr>
          <w:rFonts w:ascii="Cambria" w:hAnsi="Cambria"/>
          <w:sz w:val="24"/>
          <w:szCs w:val="24"/>
        </w:rPr>
        <w:t xml:space="preserve">referred to as </w:t>
      </w:r>
      <w:r w:rsidR="007A72D7" w:rsidRPr="002D0B26">
        <w:rPr>
          <w:rFonts w:ascii="Cambria" w:hAnsi="Cambria"/>
          <w:sz w:val="24"/>
          <w:szCs w:val="24"/>
        </w:rPr>
        <w:t>“</w:t>
      </w:r>
      <w:r w:rsidRPr="002D0B26">
        <w:rPr>
          <w:rFonts w:ascii="Cambria" w:hAnsi="Cambria"/>
          <w:sz w:val="24"/>
          <w:szCs w:val="24"/>
        </w:rPr>
        <w:t>book 2</w:t>
      </w:r>
      <w:r w:rsidR="007A72D7" w:rsidRPr="002D0B26">
        <w:rPr>
          <w:rFonts w:ascii="Cambria" w:hAnsi="Cambria"/>
          <w:sz w:val="24"/>
          <w:szCs w:val="24"/>
        </w:rPr>
        <w:t>”</w:t>
      </w:r>
      <w:r w:rsidRPr="002D0B26">
        <w:rPr>
          <w:rFonts w:ascii="Cambria" w:hAnsi="Cambria"/>
          <w:sz w:val="24"/>
          <w:szCs w:val="24"/>
        </w:rPr>
        <w:t>)</w:t>
      </w:r>
      <w:r w:rsidR="006D6C14" w:rsidRPr="002D0B26">
        <w:rPr>
          <w:rFonts w:ascii="Cambria" w:hAnsi="Cambria"/>
          <w:sz w:val="24"/>
          <w:szCs w:val="24"/>
        </w:rPr>
        <w:t>.</w:t>
      </w:r>
    </w:p>
    <w:p w:rsidR="00571C0E" w:rsidRPr="002D0B26" w:rsidRDefault="004A5A2F" w:rsidP="005F705B">
      <w:pPr>
        <w:spacing w:after="120"/>
        <w:jc w:val="both"/>
        <w:rPr>
          <w:rFonts w:ascii="Cambria" w:hAnsi="Cambria"/>
          <w:sz w:val="24"/>
          <w:szCs w:val="24"/>
        </w:rPr>
      </w:pPr>
      <w:r w:rsidRPr="002D0B26">
        <w:rPr>
          <w:rFonts w:ascii="Cambria" w:hAnsi="Cambria"/>
          <w:sz w:val="24"/>
          <w:szCs w:val="24"/>
        </w:rPr>
        <w:t>Lecture</w:t>
      </w:r>
      <w:r w:rsidR="00D14EDB" w:rsidRPr="002D0B26">
        <w:rPr>
          <w:rFonts w:ascii="Cambria" w:hAnsi="Cambria"/>
          <w:sz w:val="24"/>
          <w:szCs w:val="24"/>
        </w:rPr>
        <w:t>s</w:t>
      </w:r>
      <w:r w:rsidRPr="002D0B26">
        <w:rPr>
          <w:rFonts w:ascii="Cambria" w:hAnsi="Cambria"/>
          <w:sz w:val="24"/>
          <w:szCs w:val="24"/>
        </w:rPr>
        <w:t xml:space="preserve"> 5</w:t>
      </w:r>
      <w:r w:rsidR="007A72D7" w:rsidRPr="002D0B26">
        <w:rPr>
          <w:rFonts w:ascii="Cambria" w:hAnsi="Cambria"/>
          <w:sz w:val="24"/>
          <w:szCs w:val="24"/>
        </w:rPr>
        <w:t>-9</w:t>
      </w:r>
      <w:r w:rsidRPr="002D0B26">
        <w:rPr>
          <w:rFonts w:ascii="Cambria" w:hAnsi="Cambria"/>
          <w:sz w:val="24"/>
          <w:szCs w:val="24"/>
        </w:rPr>
        <w:t xml:space="preserve"> </w:t>
      </w:r>
      <w:r w:rsidR="007A72D7" w:rsidRPr="002D0B26">
        <w:rPr>
          <w:rFonts w:ascii="Cambria" w:hAnsi="Cambria"/>
          <w:sz w:val="24"/>
          <w:szCs w:val="24"/>
        </w:rPr>
        <w:t xml:space="preserve">will </w:t>
      </w:r>
      <w:r w:rsidR="00AB7238" w:rsidRPr="002D0B26">
        <w:rPr>
          <w:rFonts w:ascii="Cambria" w:hAnsi="Cambria"/>
          <w:sz w:val="24"/>
          <w:szCs w:val="24"/>
        </w:rPr>
        <w:t>examin</w:t>
      </w:r>
      <w:r w:rsidR="007A72D7" w:rsidRPr="002D0B26">
        <w:rPr>
          <w:rFonts w:ascii="Cambria" w:hAnsi="Cambria"/>
          <w:sz w:val="24"/>
          <w:szCs w:val="24"/>
        </w:rPr>
        <w:t>e</w:t>
      </w:r>
      <w:r w:rsidR="00AB7238" w:rsidRPr="002D0B26">
        <w:rPr>
          <w:rFonts w:ascii="Cambria" w:hAnsi="Cambria"/>
          <w:sz w:val="24"/>
          <w:szCs w:val="24"/>
        </w:rPr>
        <w:t xml:space="preserve"> some broader </w:t>
      </w:r>
      <w:r w:rsidR="007A72D7" w:rsidRPr="002D0B26">
        <w:rPr>
          <w:rFonts w:ascii="Cambria" w:hAnsi="Cambria"/>
          <w:sz w:val="24"/>
          <w:szCs w:val="24"/>
        </w:rPr>
        <w:t xml:space="preserve">PIL </w:t>
      </w:r>
      <w:r w:rsidR="00AB7238" w:rsidRPr="002D0B26">
        <w:rPr>
          <w:rFonts w:ascii="Cambria" w:hAnsi="Cambria"/>
          <w:sz w:val="24"/>
          <w:szCs w:val="24"/>
        </w:rPr>
        <w:t>questions</w:t>
      </w:r>
      <w:r w:rsidR="00A35FA2" w:rsidRPr="002D0B26">
        <w:rPr>
          <w:rFonts w:ascii="Cambria" w:hAnsi="Cambria"/>
          <w:sz w:val="24"/>
          <w:szCs w:val="24"/>
        </w:rPr>
        <w:t xml:space="preserve"> and themes</w:t>
      </w:r>
      <w:r w:rsidR="00AB7238" w:rsidRPr="002D0B26">
        <w:rPr>
          <w:rFonts w:ascii="Cambria" w:hAnsi="Cambria"/>
          <w:sz w:val="24"/>
          <w:szCs w:val="24"/>
        </w:rPr>
        <w:t xml:space="preserve">, </w:t>
      </w:r>
      <w:r w:rsidR="00A35FA2" w:rsidRPr="002D0B26">
        <w:rPr>
          <w:rFonts w:ascii="Cambria" w:hAnsi="Cambria"/>
          <w:sz w:val="24"/>
          <w:szCs w:val="24"/>
        </w:rPr>
        <w:t xml:space="preserve">including the following: </w:t>
      </w:r>
    </w:p>
    <w:p w:rsidR="00B476B1" w:rsidRPr="00B476B1" w:rsidRDefault="00803B1B" w:rsidP="00B476B1">
      <w:pPr>
        <w:pStyle w:val="ListParagraph"/>
        <w:numPr>
          <w:ilvl w:val="0"/>
          <w:numId w:val="1"/>
        </w:numPr>
        <w:spacing w:after="120"/>
        <w:jc w:val="both"/>
        <w:rPr>
          <w:rFonts w:ascii="Cambria" w:hAnsi="Cambria"/>
          <w:sz w:val="24"/>
          <w:szCs w:val="24"/>
        </w:rPr>
      </w:pPr>
      <w:r w:rsidRPr="00B476B1">
        <w:rPr>
          <w:rFonts w:ascii="Cambria" w:hAnsi="Cambria"/>
          <w:sz w:val="24"/>
          <w:szCs w:val="24"/>
        </w:rPr>
        <w:t>T</w:t>
      </w:r>
      <w:r w:rsidR="0002404B" w:rsidRPr="00B476B1">
        <w:rPr>
          <w:rFonts w:ascii="Cambria" w:hAnsi="Cambria"/>
          <w:sz w:val="24"/>
          <w:szCs w:val="24"/>
        </w:rPr>
        <w:t>he extent to which PIL is truly “private” and “international” law, the assumptions undergirding these terms, as well as the assumptions underlying the term “conflict of laws”, by which this subject is known in some parts of the world</w:t>
      </w:r>
      <w:r w:rsidR="007A72D7" w:rsidRPr="00B476B1">
        <w:rPr>
          <w:rFonts w:ascii="Cambria" w:hAnsi="Cambria"/>
          <w:sz w:val="24"/>
          <w:szCs w:val="24"/>
        </w:rPr>
        <w:t xml:space="preserve">. </w:t>
      </w:r>
    </w:p>
    <w:p w:rsidR="00571C0E" w:rsidRPr="00B476B1" w:rsidRDefault="007A72D7" w:rsidP="00B476B1">
      <w:pPr>
        <w:spacing w:after="120"/>
        <w:ind w:left="720"/>
        <w:jc w:val="both"/>
        <w:rPr>
          <w:rFonts w:ascii="Cambria" w:hAnsi="Cambria"/>
          <w:sz w:val="24"/>
          <w:szCs w:val="24"/>
        </w:rPr>
      </w:pPr>
      <w:r w:rsidRPr="00B476B1">
        <w:rPr>
          <w:rFonts w:ascii="Cambria" w:hAnsi="Cambria"/>
          <w:sz w:val="24"/>
          <w:szCs w:val="24"/>
        </w:rPr>
        <w:t>(</w:t>
      </w:r>
      <w:r w:rsidRPr="00B476B1">
        <w:rPr>
          <w:rFonts w:ascii="Cambria" w:hAnsi="Cambria"/>
          <w:b/>
          <w:smallCaps/>
          <w:sz w:val="24"/>
          <w:szCs w:val="24"/>
          <w:u w:val="single"/>
        </w:rPr>
        <w:t>Lecture 5</w:t>
      </w:r>
      <w:r w:rsidRPr="00B476B1">
        <w:rPr>
          <w:rFonts w:ascii="Cambria" w:hAnsi="Cambria"/>
          <w:sz w:val="24"/>
          <w:szCs w:val="24"/>
        </w:rPr>
        <w:t>--</w:t>
      </w:r>
      <w:r w:rsidRPr="00B476B1">
        <w:rPr>
          <w:rFonts w:ascii="Cambria" w:hAnsi="Cambria"/>
          <w:b/>
          <w:sz w:val="24"/>
          <w:szCs w:val="24"/>
        </w:rPr>
        <w:t>Reading material</w:t>
      </w:r>
      <w:r w:rsidRPr="00B476B1">
        <w:rPr>
          <w:rFonts w:ascii="Cambria" w:hAnsi="Cambria"/>
          <w:sz w:val="24"/>
          <w:szCs w:val="24"/>
        </w:rPr>
        <w:t xml:space="preserve">: </w:t>
      </w:r>
      <w:r w:rsidR="006D6C14" w:rsidRPr="00B476B1">
        <w:rPr>
          <w:rFonts w:ascii="Cambria" w:hAnsi="Cambria"/>
          <w:sz w:val="24"/>
          <w:szCs w:val="24"/>
        </w:rPr>
        <w:t xml:space="preserve">Book 2, chapters </w:t>
      </w:r>
      <w:r w:rsidR="003A5FE5" w:rsidRPr="00B476B1">
        <w:rPr>
          <w:rFonts w:ascii="Cambria" w:hAnsi="Cambria"/>
          <w:sz w:val="24"/>
          <w:szCs w:val="24"/>
        </w:rPr>
        <w:t>III</w:t>
      </w:r>
      <w:r w:rsidR="006D6C14" w:rsidRPr="00B476B1">
        <w:rPr>
          <w:rFonts w:ascii="Cambria" w:hAnsi="Cambria"/>
          <w:sz w:val="24"/>
          <w:szCs w:val="24"/>
        </w:rPr>
        <w:t>-</w:t>
      </w:r>
      <w:r w:rsidR="003A5FE5" w:rsidRPr="00B476B1">
        <w:rPr>
          <w:rFonts w:ascii="Cambria" w:hAnsi="Cambria"/>
          <w:sz w:val="24"/>
          <w:szCs w:val="24"/>
        </w:rPr>
        <w:t>IV</w:t>
      </w:r>
      <w:r w:rsidR="006D6C14" w:rsidRPr="00B476B1">
        <w:rPr>
          <w:rFonts w:ascii="Cambria" w:hAnsi="Cambria"/>
          <w:sz w:val="24"/>
          <w:szCs w:val="24"/>
        </w:rPr>
        <w:t>, pages 85-130.</w:t>
      </w:r>
    </w:p>
    <w:p w:rsidR="00980EE7" w:rsidRPr="00980EE7" w:rsidRDefault="00803B1B" w:rsidP="00980EE7">
      <w:pPr>
        <w:pStyle w:val="ListParagraph"/>
        <w:numPr>
          <w:ilvl w:val="0"/>
          <w:numId w:val="1"/>
        </w:numPr>
        <w:spacing w:after="120"/>
        <w:jc w:val="both"/>
        <w:rPr>
          <w:rFonts w:ascii="Cambria" w:hAnsi="Cambria"/>
          <w:sz w:val="24"/>
          <w:szCs w:val="24"/>
        </w:rPr>
      </w:pPr>
      <w:r w:rsidRPr="00980EE7">
        <w:rPr>
          <w:rFonts w:ascii="Cambria" w:hAnsi="Cambria"/>
          <w:sz w:val="24"/>
          <w:szCs w:val="24"/>
        </w:rPr>
        <w:t>T</w:t>
      </w:r>
      <w:r w:rsidR="00A35FA2" w:rsidRPr="00980EE7">
        <w:rPr>
          <w:rFonts w:ascii="Cambria" w:hAnsi="Cambria"/>
          <w:sz w:val="24"/>
          <w:szCs w:val="24"/>
        </w:rPr>
        <w:t>he two seemingly antithetical methods of choosing the applicable law</w:t>
      </w:r>
      <w:r w:rsidR="0002404B" w:rsidRPr="00980EE7">
        <w:rPr>
          <w:rFonts w:ascii="Cambria" w:hAnsi="Cambria"/>
          <w:sz w:val="24"/>
          <w:szCs w:val="24"/>
        </w:rPr>
        <w:t>—unilateralism and multilateralism—and the extent to which th</w:t>
      </w:r>
      <w:r w:rsidR="00A35FA2" w:rsidRPr="00980EE7">
        <w:rPr>
          <w:rFonts w:ascii="Cambria" w:hAnsi="Cambria"/>
          <w:sz w:val="24"/>
          <w:szCs w:val="24"/>
        </w:rPr>
        <w:t>ey co-exist in contemporary PIL</w:t>
      </w:r>
      <w:r w:rsidR="00081CD1" w:rsidRPr="00980EE7">
        <w:rPr>
          <w:rFonts w:ascii="Cambria" w:hAnsi="Cambria"/>
          <w:sz w:val="24"/>
          <w:szCs w:val="24"/>
        </w:rPr>
        <w:t xml:space="preserve"> systems</w:t>
      </w:r>
      <w:r w:rsidR="00364B23" w:rsidRPr="00980EE7">
        <w:rPr>
          <w:rFonts w:ascii="Cambria" w:hAnsi="Cambria"/>
          <w:sz w:val="24"/>
          <w:szCs w:val="24"/>
        </w:rPr>
        <w:t>;</w:t>
      </w:r>
      <w:r w:rsidR="00571C0E" w:rsidRPr="00980EE7">
        <w:rPr>
          <w:rFonts w:ascii="Cambria" w:hAnsi="Cambria"/>
          <w:sz w:val="24"/>
          <w:szCs w:val="24"/>
        </w:rPr>
        <w:t xml:space="preserve"> </w:t>
      </w:r>
    </w:p>
    <w:p w:rsidR="00571C0E" w:rsidRPr="00980EE7" w:rsidRDefault="007A72D7" w:rsidP="00980EE7">
      <w:pPr>
        <w:spacing w:after="120"/>
        <w:ind w:left="720"/>
        <w:jc w:val="both"/>
        <w:rPr>
          <w:rFonts w:ascii="Cambria" w:hAnsi="Cambria"/>
          <w:sz w:val="24"/>
          <w:szCs w:val="24"/>
        </w:rPr>
      </w:pPr>
      <w:r w:rsidRPr="00980EE7">
        <w:rPr>
          <w:rFonts w:ascii="Cambria" w:hAnsi="Cambria"/>
          <w:sz w:val="24"/>
          <w:szCs w:val="24"/>
        </w:rPr>
        <w:t>(</w:t>
      </w:r>
      <w:r w:rsidRPr="00980EE7">
        <w:rPr>
          <w:rFonts w:ascii="Cambria" w:hAnsi="Cambria"/>
          <w:b/>
          <w:smallCaps/>
          <w:sz w:val="24"/>
          <w:szCs w:val="24"/>
          <w:u w:val="single"/>
        </w:rPr>
        <w:t>Lecture 6</w:t>
      </w:r>
      <w:r w:rsidRPr="00980EE7">
        <w:rPr>
          <w:rFonts w:ascii="Cambria" w:hAnsi="Cambria"/>
          <w:sz w:val="24"/>
          <w:szCs w:val="24"/>
        </w:rPr>
        <w:t>--</w:t>
      </w:r>
      <w:r w:rsidRPr="00980EE7">
        <w:rPr>
          <w:rFonts w:ascii="Cambria" w:hAnsi="Cambria"/>
          <w:b/>
          <w:sz w:val="24"/>
          <w:szCs w:val="24"/>
        </w:rPr>
        <w:t>Reading material</w:t>
      </w:r>
      <w:r w:rsidRPr="00980EE7">
        <w:rPr>
          <w:rFonts w:ascii="Cambria" w:hAnsi="Cambria"/>
          <w:sz w:val="24"/>
          <w:szCs w:val="24"/>
        </w:rPr>
        <w:t>:</w:t>
      </w:r>
      <w:r w:rsidR="006D6C14" w:rsidRPr="00980EE7">
        <w:rPr>
          <w:rFonts w:ascii="Cambria" w:hAnsi="Cambria"/>
          <w:sz w:val="24"/>
          <w:szCs w:val="24"/>
        </w:rPr>
        <w:t xml:space="preserve"> Book 2, chapter </w:t>
      </w:r>
      <w:r w:rsidR="003A5FE5" w:rsidRPr="00980EE7">
        <w:rPr>
          <w:rFonts w:ascii="Cambria" w:hAnsi="Cambria"/>
          <w:sz w:val="24"/>
          <w:szCs w:val="24"/>
        </w:rPr>
        <w:t>V, pages 131-194.</w:t>
      </w:r>
    </w:p>
    <w:p w:rsidR="00B476B1" w:rsidRDefault="00571C0E" w:rsidP="005F705B">
      <w:pPr>
        <w:spacing w:after="120"/>
        <w:ind w:left="720"/>
        <w:jc w:val="both"/>
        <w:rPr>
          <w:rFonts w:ascii="Cambria" w:hAnsi="Cambria"/>
          <w:sz w:val="24"/>
          <w:szCs w:val="24"/>
        </w:rPr>
      </w:pPr>
      <w:r w:rsidRPr="002D0B26">
        <w:rPr>
          <w:rFonts w:ascii="Cambria" w:hAnsi="Cambria"/>
          <w:sz w:val="24"/>
          <w:szCs w:val="24"/>
        </w:rPr>
        <w:t>(3)</w:t>
      </w:r>
      <w:r w:rsidR="00A35FA2" w:rsidRPr="002D0B26">
        <w:rPr>
          <w:rFonts w:ascii="Cambria" w:hAnsi="Cambria"/>
          <w:sz w:val="24"/>
          <w:szCs w:val="24"/>
        </w:rPr>
        <w:t xml:space="preserve"> </w:t>
      </w:r>
      <w:r w:rsidR="00803B1B" w:rsidRPr="002D0B26">
        <w:rPr>
          <w:rFonts w:ascii="Cambria" w:hAnsi="Cambria"/>
          <w:sz w:val="24"/>
          <w:szCs w:val="24"/>
        </w:rPr>
        <w:t>T</w:t>
      </w:r>
      <w:r w:rsidR="00A35FA2" w:rsidRPr="002D0B26">
        <w:rPr>
          <w:rFonts w:ascii="Cambria" w:hAnsi="Cambria"/>
          <w:sz w:val="24"/>
          <w:szCs w:val="24"/>
        </w:rPr>
        <w:t xml:space="preserve">he dilemma between “conflicts justice” and “material justice”, namely </w:t>
      </w:r>
      <w:r w:rsidR="0002404B" w:rsidRPr="002D0B26">
        <w:rPr>
          <w:rFonts w:ascii="Cambria" w:hAnsi="Cambria"/>
          <w:sz w:val="24"/>
          <w:szCs w:val="24"/>
        </w:rPr>
        <w:t xml:space="preserve">whether, in devising solutions for conflicts of laws, PIL should aim for the law of the proper state or </w:t>
      </w:r>
      <w:r w:rsidR="00803B1B" w:rsidRPr="002D0B26">
        <w:rPr>
          <w:rFonts w:ascii="Cambria" w:hAnsi="Cambria"/>
          <w:sz w:val="24"/>
          <w:szCs w:val="24"/>
        </w:rPr>
        <w:t xml:space="preserve">instead </w:t>
      </w:r>
      <w:r w:rsidR="0002404B" w:rsidRPr="002D0B26">
        <w:rPr>
          <w:rFonts w:ascii="Cambria" w:hAnsi="Cambria"/>
          <w:sz w:val="24"/>
          <w:szCs w:val="24"/>
        </w:rPr>
        <w:t>the law that will produce the proper substantive result</w:t>
      </w:r>
      <w:r w:rsidR="00A35FA2" w:rsidRPr="002D0B26">
        <w:rPr>
          <w:rFonts w:ascii="Cambria" w:hAnsi="Cambria"/>
          <w:sz w:val="24"/>
          <w:szCs w:val="24"/>
        </w:rPr>
        <w:t>;</w:t>
      </w:r>
      <w:r w:rsidR="007A72D7" w:rsidRPr="002D0B26">
        <w:rPr>
          <w:rFonts w:ascii="Cambria" w:hAnsi="Cambria"/>
          <w:sz w:val="24"/>
          <w:szCs w:val="24"/>
        </w:rPr>
        <w:t xml:space="preserve"> </w:t>
      </w:r>
    </w:p>
    <w:p w:rsidR="00571C0E" w:rsidRPr="002D0B26" w:rsidRDefault="007A72D7" w:rsidP="005F705B">
      <w:pPr>
        <w:spacing w:after="120"/>
        <w:ind w:left="720"/>
        <w:jc w:val="both"/>
        <w:rPr>
          <w:rFonts w:ascii="Cambria" w:hAnsi="Cambria"/>
          <w:sz w:val="24"/>
          <w:szCs w:val="24"/>
        </w:rPr>
      </w:pPr>
      <w:r w:rsidRPr="002D0B26">
        <w:rPr>
          <w:rFonts w:ascii="Cambria" w:hAnsi="Cambria"/>
          <w:sz w:val="24"/>
          <w:szCs w:val="24"/>
        </w:rPr>
        <w:t>(</w:t>
      </w:r>
      <w:r w:rsidRPr="002D0B26">
        <w:rPr>
          <w:rFonts w:ascii="Cambria" w:hAnsi="Cambria"/>
          <w:b/>
          <w:smallCaps/>
          <w:sz w:val="24"/>
          <w:szCs w:val="24"/>
          <w:u w:val="single"/>
        </w:rPr>
        <w:t>Lecture 7</w:t>
      </w:r>
      <w:r w:rsidRPr="002D0B26">
        <w:rPr>
          <w:rFonts w:ascii="Cambria" w:hAnsi="Cambria"/>
          <w:sz w:val="24"/>
          <w:szCs w:val="24"/>
        </w:rPr>
        <w:t>—</w:t>
      </w:r>
      <w:r w:rsidRPr="002D0B26">
        <w:rPr>
          <w:rFonts w:ascii="Cambria" w:hAnsi="Cambria"/>
          <w:b/>
          <w:sz w:val="24"/>
          <w:szCs w:val="24"/>
        </w:rPr>
        <w:t>Reading material</w:t>
      </w:r>
      <w:r w:rsidRPr="002D0B26">
        <w:rPr>
          <w:rFonts w:ascii="Cambria" w:hAnsi="Cambria"/>
          <w:sz w:val="24"/>
          <w:szCs w:val="24"/>
        </w:rPr>
        <w:t>:</w:t>
      </w:r>
      <w:r w:rsidR="00A35FA2" w:rsidRPr="002D0B26">
        <w:rPr>
          <w:rFonts w:ascii="Cambria" w:hAnsi="Cambria"/>
          <w:sz w:val="24"/>
          <w:szCs w:val="24"/>
        </w:rPr>
        <w:t xml:space="preserve"> </w:t>
      </w:r>
      <w:r w:rsidR="006D6C14" w:rsidRPr="002D0B26">
        <w:rPr>
          <w:rFonts w:ascii="Cambria" w:hAnsi="Cambria"/>
          <w:sz w:val="24"/>
          <w:szCs w:val="24"/>
        </w:rPr>
        <w:t>Book 2,</w:t>
      </w:r>
      <w:r w:rsidR="003A5FE5" w:rsidRPr="002D0B26">
        <w:rPr>
          <w:rFonts w:ascii="Cambria" w:hAnsi="Cambria"/>
          <w:sz w:val="24"/>
          <w:szCs w:val="24"/>
        </w:rPr>
        <w:t xml:space="preserve"> chapter VI, pages 195-255.</w:t>
      </w:r>
    </w:p>
    <w:p w:rsidR="0002404B" w:rsidRPr="002D0B26" w:rsidRDefault="00571C0E" w:rsidP="005F705B">
      <w:pPr>
        <w:spacing w:after="120"/>
        <w:ind w:left="720"/>
        <w:jc w:val="both"/>
        <w:rPr>
          <w:rFonts w:ascii="Cambria" w:hAnsi="Cambria"/>
          <w:sz w:val="24"/>
          <w:szCs w:val="24"/>
        </w:rPr>
      </w:pPr>
      <w:r w:rsidRPr="002D0B26">
        <w:rPr>
          <w:rFonts w:ascii="Cambria" w:hAnsi="Cambria"/>
          <w:sz w:val="24"/>
          <w:szCs w:val="24"/>
        </w:rPr>
        <w:t xml:space="preserve">(4) </w:t>
      </w:r>
      <w:r w:rsidR="00803B1B" w:rsidRPr="002D0B26">
        <w:rPr>
          <w:rFonts w:ascii="Cambria" w:hAnsi="Cambria"/>
          <w:sz w:val="24"/>
          <w:szCs w:val="24"/>
        </w:rPr>
        <w:t>T</w:t>
      </w:r>
      <w:r w:rsidR="00A35FA2" w:rsidRPr="002D0B26">
        <w:rPr>
          <w:rFonts w:ascii="Cambria" w:hAnsi="Cambria"/>
          <w:sz w:val="24"/>
          <w:szCs w:val="24"/>
        </w:rPr>
        <w:t>he per</w:t>
      </w:r>
      <w:r w:rsidR="00803B1B" w:rsidRPr="002D0B26">
        <w:rPr>
          <w:rFonts w:ascii="Cambria" w:hAnsi="Cambria"/>
          <w:sz w:val="24"/>
          <w:szCs w:val="24"/>
        </w:rPr>
        <w:t xml:space="preserve">ennial </w:t>
      </w:r>
      <w:r w:rsidR="00A35FA2" w:rsidRPr="002D0B26">
        <w:rPr>
          <w:rFonts w:ascii="Cambria" w:hAnsi="Cambria"/>
          <w:sz w:val="24"/>
          <w:szCs w:val="24"/>
        </w:rPr>
        <w:t>tension between the need for legal certainty</w:t>
      </w:r>
      <w:r w:rsidR="00803B1B" w:rsidRPr="002D0B26">
        <w:rPr>
          <w:rFonts w:ascii="Cambria" w:hAnsi="Cambria"/>
          <w:sz w:val="24"/>
          <w:szCs w:val="24"/>
        </w:rPr>
        <w:t xml:space="preserve">, on the one hand, </w:t>
      </w:r>
      <w:r w:rsidR="00A35FA2" w:rsidRPr="002D0B26">
        <w:rPr>
          <w:rFonts w:ascii="Cambria" w:hAnsi="Cambria"/>
          <w:sz w:val="24"/>
          <w:szCs w:val="24"/>
        </w:rPr>
        <w:t xml:space="preserve">and the </w:t>
      </w:r>
      <w:r w:rsidR="00803B1B" w:rsidRPr="002D0B26">
        <w:rPr>
          <w:rFonts w:ascii="Cambria" w:hAnsi="Cambria"/>
          <w:sz w:val="24"/>
          <w:szCs w:val="24"/>
        </w:rPr>
        <w:t>desire f</w:t>
      </w:r>
      <w:r w:rsidR="00A35FA2" w:rsidRPr="002D0B26">
        <w:rPr>
          <w:rFonts w:ascii="Cambria" w:hAnsi="Cambria"/>
          <w:sz w:val="24"/>
          <w:szCs w:val="24"/>
        </w:rPr>
        <w:t>or flexible individualized solutions</w:t>
      </w:r>
      <w:r w:rsidR="00803B1B" w:rsidRPr="002D0B26">
        <w:rPr>
          <w:rFonts w:ascii="Cambria" w:hAnsi="Cambria"/>
          <w:sz w:val="24"/>
          <w:szCs w:val="24"/>
        </w:rPr>
        <w:t>,</w:t>
      </w:r>
      <w:r w:rsidR="00A35FA2" w:rsidRPr="002D0B26">
        <w:rPr>
          <w:rFonts w:ascii="Cambria" w:hAnsi="Cambria"/>
          <w:sz w:val="24"/>
          <w:szCs w:val="24"/>
        </w:rPr>
        <w:t xml:space="preserve"> on the other hand</w:t>
      </w:r>
      <w:r w:rsidR="007A72D7" w:rsidRPr="002D0B26">
        <w:rPr>
          <w:rFonts w:ascii="Cambria" w:hAnsi="Cambria"/>
          <w:sz w:val="24"/>
          <w:szCs w:val="24"/>
        </w:rPr>
        <w:t xml:space="preserve"> </w:t>
      </w:r>
      <w:r w:rsidR="00B476B1">
        <w:rPr>
          <w:rFonts w:ascii="Cambria" w:hAnsi="Cambria"/>
          <w:sz w:val="24"/>
          <w:szCs w:val="24"/>
        </w:rPr>
        <w:br/>
      </w:r>
      <w:r w:rsidR="007A72D7" w:rsidRPr="002D0B26">
        <w:rPr>
          <w:rFonts w:ascii="Cambria" w:hAnsi="Cambria"/>
          <w:sz w:val="24"/>
          <w:szCs w:val="24"/>
        </w:rPr>
        <w:t>(</w:t>
      </w:r>
      <w:r w:rsidR="007A72D7" w:rsidRPr="002D0B26">
        <w:rPr>
          <w:rFonts w:ascii="Cambria" w:hAnsi="Cambria"/>
          <w:b/>
          <w:smallCaps/>
          <w:sz w:val="24"/>
          <w:szCs w:val="24"/>
          <w:u w:val="single"/>
        </w:rPr>
        <w:t>Lecture 8</w:t>
      </w:r>
      <w:r w:rsidR="003B4D26">
        <w:rPr>
          <w:rFonts w:ascii="Cambria" w:hAnsi="Cambria"/>
          <w:sz w:val="24"/>
          <w:szCs w:val="24"/>
        </w:rPr>
        <w:t>---</w:t>
      </w:r>
      <w:r w:rsidR="007A72D7" w:rsidRPr="002D0B26">
        <w:rPr>
          <w:rFonts w:ascii="Cambria" w:hAnsi="Cambria"/>
          <w:b/>
          <w:sz w:val="24"/>
          <w:szCs w:val="24"/>
        </w:rPr>
        <w:t>Reading material</w:t>
      </w:r>
      <w:r w:rsidR="007A72D7" w:rsidRPr="002D0B26">
        <w:rPr>
          <w:rFonts w:ascii="Cambria" w:hAnsi="Cambria"/>
          <w:sz w:val="24"/>
          <w:szCs w:val="24"/>
        </w:rPr>
        <w:t>:</w:t>
      </w:r>
      <w:r w:rsidR="00631566" w:rsidRPr="002D0B26">
        <w:rPr>
          <w:rFonts w:ascii="Cambria" w:hAnsi="Cambria"/>
          <w:sz w:val="24"/>
          <w:szCs w:val="24"/>
        </w:rPr>
        <w:t xml:space="preserve"> </w:t>
      </w:r>
      <w:r w:rsidR="006D6C14" w:rsidRPr="002D0B26">
        <w:rPr>
          <w:rFonts w:ascii="Cambria" w:hAnsi="Cambria"/>
          <w:sz w:val="24"/>
          <w:szCs w:val="24"/>
        </w:rPr>
        <w:t>Book 2</w:t>
      </w:r>
      <w:r w:rsidR="003A5FE5" w:rsidRPr="002D0B26">
        <w:rPr>
          <w:rFonts w:ascii="Cambria" w:hAnsi="Cambria"/>
          <w:sz w:val="24"/>
          <w:szCs w:val="24"/>
        </w:rPr>
        <w:t>, chapters VII-VIII, pages 256-335.</w:t>
      </w:r>
    </w:p>
    <w:p w:rsidR="006D6C14" w:rsidRPr="002D0B26" w:rsidRDefault="007A72D7" w:rsidP="006D6C14">
      <w:pPr>
        <w:spacing w:after="120"/>
        <w:jc w:val="both"/>
        <w:rPr>
          <w:rFonts w:ascii="Cambria" w:hAnsi="Cambria"/>
          <w:sz w:val="24"/>
          <w:szCs w:val="24"/>
        </w:rPr>
      </w:pPr>
      <w:r w:rsidRPr="002D0B26">
        <w:rPr>
          <w:rFonts w:ascii="Cambria" w:hAnsi="Cambria"/>
          <w:b/>
          <w:smallCaps/>
          <w:sz w:val="24"/>
          <w:szCs w:val="24"/>
          <w:u w:val="single"/>
        </w:rPr>
        <w:t>Lecture 9</w:t>
      </w:r>
      <w:r w:rsidRPr="002D0B26">
        <w:rPr>
          <w:rFonts w:ascii="Cambria" w:hAnsi="Cambria"/>
          <w:sz w:val="24"/>
          <w:szCs w:val="24"/>
        </w:rPr>
        <w:t xml:space="preserve"> will summarize the </w:t>
      </w:r>
      <w:r w:rsidR="006D6C14" w:rsidRPr="002D0B26">
        <w:rPr>
          <w:rFonts w:ascii="Cambria" w:hAnsi="Cambria"/>
          <w:sz w:val="24"/>
          <w:szCs w:val="24"/>
        </w:rPr>
        <w:t>main points of the course and will suggest certain conclusions about the current state of PIL</w:t>
      </w:r>
      <w:r w:rsidR="003A5FE5" w:rsidRPr="002D0B26">
        <w:rPr>
          <w:rFonts w:ascii="Cambria" w:hAnsi="Cambria"/>
          <w:sz w:val="24"/>
          <w:szCs w:val="24"/>
        </w:rPr>
        <w:t>, especially in comparison with its classical foundations</w:t>
      </w:r>
      <w:r w:rsidR="006D6C14" w:rsidRPr="002D0B26">
        <w:rPr>
          <w:rFonts w:ascii="Cambria" w:hAnsi="Cambria"/>
          <w:sz w:val="24"/>
          <w:szCs w:val="24"/>
        </w:rPr>
        <w:t>.</w:t>
      </w:r>
      <w:r w:rsidR="006D6C14" w:rsidRPr="002D0B26">
        <w:rPr>
          <w:rFonts w:ascii="Cambria" w:hAnsi="Cambria"/>
          <w:b/>
          <w:sz w:val="24"/>
          <w:szCs w:val="24"/>
        </w:rPr>
        <w:t xml:space="preserve"> Reading material</w:t>
      </w:r>
      <w:r w:rsidR="006D6C14" w:rsidRPr="002D0B26">
        <w:rPr>
          <w:rFonts w:ascii="Cambria" w:hAnsi="Cambria"/>
          <w:sz w:val="24"/>
          <w:szCs w:val="24"/>
        </w:rPr>
        <w:t>: Book 2</w:t>
      </w:r>
      <w:r w:rsidR="003A5FE5" w:rsidRPr="002D0B26">
        <w:rPr>
          <w:rFonts w:ascii="Cambria" w:hAnsi="Cambria"/>
          <w:sz w:val="24"/>
          <w:szCs w:val="24"/>
        </w:rPr>
        <w:t>, chapter IX, pages 336-351.</w:t>
      </w:r>
    </w:p>
    <w:p w:rsidR="00451A6D" w:rsidRPr="0020027C" w:rsidRDefault="00451A6D" w:rsidP="0022510C">
      <w:pPr>
        <w:spacing w:after="120"/>
        <w:jc w:val="both"/>
        <w:rPr>
          <w:rFonts w:ascii="Cambria" w:hAnsi="Cambria"/>
          <w:b/>
          <w:smallCaps/>
          <w:sz w:val="24"/>
          <w:szCs w:val="24"/>
        </w:rPr>
      </w:pPr>
      <w:bookmarkStart w:id="1" w:name="_Hlk492455088"/>
      <w:bookmarkEnd w:id="0"/>
      <w:r w:rsidRPr="0020027C">
        <w:rPr>
          <w:rFonts w:ascii="Cambria" w:hAnsi="Cambria"/>
          <w:b/>
          <w:smallCaps/>
          <w:sz w:val="24"/>
          <w:szCs w:val="24"/>
        </w:rPr>
        <w:t>Reading list:</w:t>
      </w:r>
    </w:p>
    <w:bookmarkEnd w:id="1"/>
    <w:p w:rsidR="002D0B26" w:rsidRPr="002D0B26" w:rsidRDefault="002D0B26" w:rsidP="0020027C">
      <w:pPr>
        <w:spacing w:after="120"/>
        <w:ind w:left="720"/>
        <w:jc w:val="both"/>
        <w:rPr>
          <w:rFonts w:ascii="Cambria" w:hAnsi="Cambria"/>
          <w:sz w:val="24"/>
          <w:szCs w:val="24"/>
        </w:rPr>
      </w:pPr>
      <w:r w:rsidRPr="002D0B26">
        <w:rPr>
          <w:rFonts w:ascii="Cambria" w:hAnsi="Cambria"/>
          <w:sz w:val="24"/>
          <w:szCs w:val="24"/>
        </w:rPr>
        <w:t xml:space="preserve">Book 1: Symeon C. Symeonides, </w:t>
      </w:r>
      <w:r w:rsidRPr="002D0B26">
        <w:rPr>
          <w:rFonts w:ascii="Cambria" w:hAnsi="Cambria"/>
          <w:i/>
          <w:sz w:val="24"/>
          <w:szCs w:val="24"/>
        </w:rPr>
        <w:t>Codifying Choice of Law Around the World: An International Comparative Analysis</w:t>
      </w:r>
      <w:r w:rsidRPr="002D0B26">
        <w:rPr>
          <w:rFonts w:ascii="Cambria" w:hAnsi="Cambria"/>
          <w:sz w:val="24"/>
          <w:szCs w:val="24"/>
        </w:rPr>
        <w:t xml:space="preserve"> (copyright 2014 by Oxford University Press).</w:t>
      </w:r>
    </w:p>
    <w:p w:rsidR="00451A6D" w:rsidRPr="002D0B26" w:rsidRDefault="002D0B26" w:rsidP="00822E24">
      <w:pPr>
        <w:spacing w:after="120"/>
        <w:ind w:left="720"/>
        <w:jc w:val="both"/>
        <w:rPr>
          <w:rFonts w:ascii="Cambria" w:hAnsi="Cambria"/>
          <w:sz w:val="24"/>
          <w:szCs w:val="24"/>
        </w:rPr>
      </w:pPr>
      <w:r w:rsidRPr="002D0B26">
        <w:rPr>
          <w:rFonts w:ascii="Cambria" w:hAnsi="Cambria"/>
          <w:sz w:val="24"/>
          <w:szCs w:val="24"/>
        </w:rPr>
        <w:t xml:space="preserve">Book 2: Symeon C. Symeonides, </w:t>
      </w:r>
      <w:r w:rsidRPr="002D0B26">
        <w:rPr>
          <w:rFonts w:ascii="Cambria" w:hAnsi="Cambria"/>
          <w:i/>
          <w:sz w:val="24"/>
          <w:szCs w:val="24"/>
        </w:rPr>
        <w:t>Private International Law: Idealism, Pragmatism, Eclecticism</w:t>
      </w:r>
      <w:r w:rsidRPr="002D0B26">
        <w:rPr>
          <w:rFonts w:ascii="Cambria" w:hAnsi="Cambria"/>
          <w:sz w:val="24"/>
          <w:szCs w:val="24"/>
        </w:rPr>
        <w:t>, (copyright 2017 by The Hague Academy of International Law).</w:t>
      </w:r>
      <w:bookmarkStart w:id="2" w:name="_GoBack"/>
      <w:bookmarkEnd w:id="2"/>
    </w:p>
    <w:sectPr w:rsidR="00451A6D" w:rsidRPr="002D0B26" w:rsidSect="0048741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FEB" w:rsidRDefault="00483FEB" w:rsidP="00980EE7">
      <w:pPr>
        <w:spacing w:after="0" w:line="240" w:lineRule="auto"/>
      </w:pPr>
      <w:r>
        <w:separator/>
      </w:r>
    </w:p>
  </w:endnote>
  <w:endnote w:type="continuationSeparator" w:id="0">
    <w:p w:rsidR="00483FEB" w:rsidRDefault="00483FEB" w:rsidP="00980E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hampagne &amp; Limousines">
    <w:altName w:val="Calibri"/>
    <w:charset w:val="00"/>
    <w:family w:val="swiss"/>
    <w:pitch w:val="variable"/>
    <w:sig w:usb0="A00002AF" w:usb1="501760F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FEB" w:rsidRDefault="00483FEB" w:rsidP="00980EE7">
      <w:pPr>
        <w:spacing w:after="0" w:line="240" w:lineRule="auto"/>
      </w:pPr>
      <w:r>
        <w:separator/>
      </w:r>
    </w:p>
  </w:footnote>
  <w:footnote w:type="continuationSeparator" w:id="0">
    <w:p w:rsidR="00483FEB" w:rsidRDefault="00483FEB" w:rsidP="00980E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EE7" w:rsidRDefault="00980EE7">
    <w:pPr>
      <w:pStyle w:val="Header"/>
    </w:pPr>
    <w:r>
      <w:rPr>
        <w:rFonts w:ascii="Champagne &amp; Limousines" w:hAnsi="Champagne &amp; Limousines"/>
        <w:noProof/>
        <w:color w:val="C45911" w:themeColor="accent2" w:themeShade="BF"/>
        <w:sz w:val="36"/>
      </w:rPr>
      <w:drawing>
        <wp:anchor distT="0" distB="0" distL="114300" distR="114300" simplePos="0" relativeHeight="251661312" behindDoc="1" locked="0" layoutInCell="1" allowOverlap="1">
          <wp:simplePos x="0" y="0"/>
          <wp:positionH relativeFrom="margin">
            <wp:align>left</wp:align>
          </wp:positionH>
          <wp:positionV relativeFrom="paragraph">
            <wp:posOffset>0</wp:posOffset>
          </wp:positionV>
          <wp:extent cx="1257300" cy="704319"/>
          <wp:effectExtent l="0" t="0" r="0" b="635"/>
          <wp:wrapNone/>
          <wp:docPr id="5" name="Picture 5" descr="C:\Users\INZY\Desktop\CTCL\brochure\CTCL Logo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NZY\Desktop\CTCL\brochure\CTCL Logo web.jpg"/>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2408" t="27131" r="26168" b="20535"/>
                  <a:stretch/>
                </pic:blipFill>
                <pic:spPr bwMode="auto">
                  <a:xfrm>
                    <a:off x="0" y="0"/>
                    <a:ext cx="1257300" cy="70431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68595E">
      <w:rPr>
        <w:rFonts w:ascii="Champagne &amp; Limousines" w:hAnsi="Champagne &amp; Limousines"/>
        <w:b/>
        <w:smallCaps/>
        <w:noProof/>
        <w:color w:val="C45911" w:themeColor="accent2" w:themeShade="BF"/>
        <w:sz w:val="36"/>
      </w:rPr>
      <w:drawing>
        <wp:anchor distT="0" distB="0" distL="114300" distR="114300" simplePos="0" relativeHeight="251659264" behindDoc="1" locked="0" layoutInCell="1" allowOverlap="1">
          <wp:simplePos x="0" y="0"/>
          <wp:positionH relativeFrom="column">
            <wp:posOffset>5251450</wp:posOffset>
          </wp:positionH>
          <wp:positionV relativeFrom="paragraph">
            <wp:posOffset>6350</wp:posOffset>
          </wp:positionV>
          <wp:extent cx="851535" cy="913130"/>
          <wp:effectExtent l="0" t="0" r="0" b="0"/>
          <wp:wrapNone/>
          <wp:docPr id="2" name="Picture 2" descr="C:\Users\INZY\Desktop\CTCL\brochure\NLUD logo 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ZY\Desktop\CTCL\brochure\NLUD logo Trans.pn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1535" cy="913130"/>
                  </a:xfrm>
                  <a:prstGeom prst="rect">
                    <a:avLst/>
                  </a:prstGeom>
                  <a:noFill/>
                  <a:ln>
                    <a:noFill/>
                  </a:ln>
                </pic:spPr>
              </pic:pic>
            </a:graphicData>
          </a:graphic>
        </wp:anchor>
      </w:drawing>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F27D7"/>
    <w:multiLevelType w:val="hybridMultilevel"/>
    <w:tmpl w:val="0B2CDDFC"/>
    <w:lvl w:ilvl="0" w:tplc="57EA03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B0662"/>
    <w:rsid w:val="0002404B"/>
    <w:rsid w:val="00081CD1"/>
    <w:rsid w:val="001B294F"/>
    <w:rsid w:val="0020027C"/>
    <w:rsid w:val="0022510C"/>
    <w:rsid w:val="00241A20"/>
    <w:rsid w:val="00282E44"/>
    <w:rsid w:val="002D0B26"/>
    <w:rsid w:val="00364B23"/>
    <w:rsid w:val="00374010"/>
    <w:rsid w:val="003A5FE5"/>
    <w:rsid w:val="003B4D26"/>
    <w:rsid w:val="003C2BB8"/>
    <w:rsid w:val="00402198"/>
    <w:rsid w:val="00416F45"/>
    <w:rsid w:val="00451A6D"/>
    <w:rsid w:val="00456AB6"/>
    <w:rsid w:val="00483FEB"/>
    <w:rsid w:val="00487419"/>
    <w:rsid w:val="004A5A2F"/>
    <w:rsid w:val="00571C0E"/>
    <w:rsid w:val="005F705B"/>
    <w:rsid w:val="006212AD"/>
    <w:rsid w:val="00631117"/>
    <w:rsid w:val="00631566"/>
    <w:rsid w:val="006D1012"/>
    <w:rsid w:val="006D6C14"/>
    <w:rsid w:val="00723DA6"/>
    <w:rsid w:val="00757066"/>
    <w:rsid w:val="007A72D7"/>
    <w:rsid w:val="00803B1B"/>
    <w:rsid w:val="00822E24"/>
    <w:rsid w:val="008B0662"/>
    <w:rsid w:val="009809A8"/>
    <w:rsid w:val="00980EE7"/>
    <w:rsid w:val="009A2889"/>
    <w:rsid w:val="00A35FA2"/>
    <w:rsid w:val="00AB6538"/>
    <w:rsid w:val="00AB7238"/>
    <w:rsid w:val="00AD5576"/>
    <w:rsid w:val="00B476B1"/>
    <w:rsid w:val="00C03D6F"/>
    <w:rsid w:val="00D14EDB"/>
    <w:rsid w:val="00EB2CF1"/>
    <w:rsid w:val="00EE40EB"/>
    <w:rsid w:val="00F86588"/>
    <w:rsid w:val="00FE6B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4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282E44"/>
    <w:pPr>
      <w:spacing w:after="120" w:line="240" w:lineRule="auto"/>
    </w:pPr>
    <w:rPr>
      <w:rFonts w:ascii="Cambria" w:hAnsi="Cambria"/>
      <w:sz w:val="24"/>
    </w:rPr>
  </w:style>
  <w:style w:type="paragraph" w:styleId="FootnoteText">
    <w:name w:val="footnote text"/>
    <w:basedOn w:val="Normal"/>
    <w:link w:val="FootnoteTextChar"/>
    <w:uiPriority w:val="99"/>
    <w:semiHidden/>
    <w:unhideWhenUsed/>
    <w:rsid w:val="00282E44"/>
    <w:pPr>
      <w:spacing w:after="120" w:line="240" w:lineRule="auto"/>
    </w:pPr>
    <w:rPr>
      <w:rFonts w:ascii="Cambria" w:hAnsi="Cambria"/>
      <w:sz w:val="20"/>
      <w:szCs w:val="20"/>
    </w:rPr>
  </w:style>
  <w:style w:type="character" w:customStyle="1" w:styleId="FootnoteTextChar">
    <w:name w:val="Footnote Text Char"/>
    <w:basedOn w:val="DefaultParagraphFont"/>
    <w:link w:val="FootnoteText"/>
    <w:uiPriority w:val="99"/>
    <w:semiHidden/>
    <w:rsid w:val="00282E44"/>
    <w:rPr>
      <w:rFonts w:ascii="Cambria" w:hAnsi="Cambria"/>
      <w:sz w:val="20"/>
      <w:szCs w:val="20"/>
    </w:rPr>
  </w:style>
  <w:style w:type="table" w:styleId="TableGrid">
    <w:name w:val="Table Grid"/>
    <w:basedOn w:val="TableNormal"/>
    <w:uiPriority w:val="39"/>
    <w:rsid w:val="00F86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2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BB8"/>
    <w:rPr>
      <w:rFonts w:ascii="Segoe UI" w:hAnsi="Segoe UI" w:cs="Segoe UI"/>
      <w:sz w:val="18"/>
      <w:szCs w:val="18"/>
    </w:rPr>
  </w:style>
  <w:style w:type="paragraph" w:styleId="ListParagraph">
    <w:name w:val="List Paragraph"/>
    <w:basedOn w:val="Normal"/>
    <w:uiPriority w:val="34"/>
    <w:qFormat/>
    <w:rsid w:val="00B476B1"/>
    <w:pPr>
      <w:ind w:left="720"/>
      <w:contextualSpacing/>
    </w:pPr>
  </w:style>
  <w:style w:type="paragraph" w:styleId="Header">
    <w:name w:val="header"/>
    <w:basedOn w:val="Normal"/>
    <w:link w:val="HeaderChar"/>
    <w:uiPriority w:val="99"/>
    <w:unhideWhenUsed/>
    <w:rsid w:val="00980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EE7"/>
  </w:style>
  <w:style w:type="paragraph" w:styleId="Footer">
    <w:name w:val="footer"/>
    <w:basedOn w:val="Normal"/>
    <w:link w:val="FooterChar"/>
    <w:uiPriority w:val="99"/>
    <w:unhideWhenUsed/>
    <w:rsid w:val="00980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EE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Willamette University</Company>
  <LinksUpToDate>false</LinksUpToDate>
  <CharactersWithSpaces>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Symeon C Symeonides</dc:creator>
  <cp:lastModifiedBy>HP</cp:lastModifiedBy>
  <cp:revision>2</cp:revision>
  <cp:lastPrinted>2017-08-25T21:18:00Z</cp:lastPrinted>
  <dcterms:created xsi:type="dcterms:W3CDTF">2017-09-06T05:41:00Z</dcterms:created>
  <dcterms:modified xsi:type="dcterms:W3CDTF">2017-09-06T05:41:00Z</dcterms:modified>
</cp:coreProperties>
</file>